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9D0EF8">
      <w:pPr>
        <w:spacing w:line="540" w:lineRule="exact"/>
        <w:jc w:val="center"/>
        <w:rPr>
          <w:rFonts w:ascii="仿宋_GB2312" w:hAnsi="华文中宋" w:eastAsia="仿宋_GB2312" w:cs="TT4AC8C67DtCID-WinCharSetFFFF-H"/>
          <w:color w:val="000000"/>
          <w:kern w:val="0"/>
          <w:sz w:val="42"/>
          <w:szCs w:val="42"/>
        </w:rPr>
      </w:pPr>
    </w:p>
    <w:p w14:paraId="6B1ACC3D">
      <w:pPr>
        <w:spacing w:line="540" w:lineRule="exact"/>
        <w:jc w:val="center"/>
        <w:rPr>
          <w:rFonts w:ascii="仿宋_GB2312" w:hAnsi="华文中宋" w:eastAsia="仿宋_GB2312" w:cs="TT4AC8C67DtCID-WinCharSetFFFF-H"/>
          <w:color w:val="000000"/>
          <w:kern w:val="0"/>
          <w:sz w:val="42"/>
          <w:szCs w:val="42"/>
        </w:rPr>
      </w:pPr>
    </w:p>
    <w:p w14:paraId="44D08793">
      <w:pPr>
        <w:spacing w:line="80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lang w:val="en-US" w:eastAsia="zh-CN"/>
        </w:rPr>
        <w:t>澳鹏科技（</w:t>
      </w:r>
      <w:r>
        <w:rPr>
          <w:rFonts w:ascii="仿宋_GB2312" w:hAnsi="华文中宋" w:eastAsia="仿宋_GB2312" w:cs="TT4AC8C67DtCID-WinCharSetFFFF-H"/>
          <w:color w:val="000000"/>
          <w:kern w:val="0"/>
          <w:sz w:val="42"/>
          <w:szCs w:val="42"/>
        </w:rPr>
        <w:t>无锡</w:t>
      </w:r>
      <w:r>
        <w:rPr>
          <w:rFonts w:hint="eastAsia" w:ascii="仿宋_GB2312" w:hAnsi="华文中宋" w:eastAsia="仿宋_GB2312" w:cs="TT4AC8C67DtCID-WinCharSetFFFF-H"/>
          <w:color w:val="000000"/>
          <w:kern w:val="0"/>
          <w:sz w:val="42"/>
          <w:szCs w:val="42"/>
          <w:lang w:eastAsia="zh-CN"/>
        </w:rPr>
        <w:t>）</w:t>
      </w:r>
      <w:r>
        <w:rPr>
          <w:rFonts w:ascii="仿宋_GB2312" w:hAnsi="华文中宋" w:eastAsia="仿宋_GB2312" w:cs="TT4AC8C67DtCID-WinCharSetFFFF-H"/>
          <w:color w:val="000000"/>
          <w:kern w:val="0"/>
          <w:sz w:val="42"/>
          <w:szCs w:val="42"/>
        </w:rPr>
        <w:t>有限公司</w:t>
      </w:r>
    </w:p>
    <w:p w14:paraId="434A871E">
      <w:pPr>
        <w:spacing w:line="80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参与五年制高等职业教育人才培养年度报告</w:t>
      </w:r>
    </w:p>
    <w:p w14:paraId="14226EB6">
      <w:pPr>
        <w:spacing w:line="80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（202</w:t>
      </w:r>
      <w:r>
        <w:rPr>
          <w:rFonts w:hint="eastAsia" w:ascii="仿宋_GB2312" w:hAnsi="华文中宋" w:eastAsia="仿宋_GB2312" w:cs="TT4AC8C67DtCID-WinCharSetFFFF-H"/>
          <w:color w:val="000000"/>
          <w:kern w:val="0"/>
          <w:sz w:val="42"/>
          <w:szCs w:val="42"/>
          <w:lang w:val="en-US" w:eastAsia="zh-CN"/>
        </w:rPr>
        <w:t>5</w:t>
      </w:r>
      <w:r>
        <w:rPr>
          <w:rFonts w:hint="eastAsia" w:ascii="仿宋_GB2312" w:hAnsi="华文中宋" w:eastAsia="仿宋_GB2312" w:cs="TT4AC8C67DtCID-WinCharSetFFFF-H"/>
          <w:color w:val="000000"/>
          <w:kern w:val="0"/>
          <w:sz w:val="42"/>
          <w:szCs w:val="42"/>
        </w:rPr>
        <w:t xml:space="preserve">） </w:t>
      </w:r>
      <w:r>
        <w:rPr>
          <w:rFonts w:ascii="仿宋_GB2312" w:hAnsi="华文中宋" w:eastAsia="仿宋_GB2312" w:cs="TT4AC8C67DtCID-WinCharSetFFFF-H"/>
          <w:color w:val="000000"/>
          <w:kern w:val="0"/>
          <w:sz w:val="42"/>
          <w:szCs w:val="42"/>
        </w:rPr>
        <w:t xml:space="preserve">             </w:t>
      </w:r>
    </w:p>
    <w:p w14:paraId="652830E1">
      <w:pPr>
        <w:spacing w:line="540" w:lineRule="exact"/>
        <w:jc w:val="center"/>
        <w:rPr>
          <w:rFonts w:ascii="仿宋_GB2312" w:hAnsi="华文中宋" w:eastAsia="仿宋_GB2312" w:cs="TT4AC8C67DtCID-WinCharSetFFFF-H"/>
          <w:color w:val="000000"/>
          <w:kern w:val="0"/>
          <w:sz w:val="42"/>
          <w:szCs w:val="42"/>
        </w:rPr>
      </w:pPr>
    </w:p>
    <w:p w14:paraId="35CF5A56">
      <w:pPr>
        <w:spacing w:line="540" w:lineRule="exact"/>
        <w:jc w:val="center"/>
        <w:rPr>
          <w:rFonts w:ascii="仿宋_GB2312" w:hAnsi="华文中宋" w:eastAsia="仿宋_GB2312" w:cs="TT4AC8C67DtCID-WinCharSetFFFF-H"/>
          <w:color w:val="000000"/>
          <w:kern w:val="0"/>
          <w:sz w:val="42"/>
          <w:szCs w:val="42"/>
        </w:rPr>
      </w:pPr>
    </w:p>
    <w:p w14:paraId="4627BCA2">
      <w:pPr>
        <w:spacing w:line="540" w:lineRule="exact"/>
        <w:jc w:val="center"/>
        <w:rPr>
          <w:rFonts w:ascii="仿宋_GB2312" w:hAnsi="华文中宋" w:eastAsia="仿宋_GB2312" w:cs="TT4AC8C67DtCID-WinCharSetFFFF-H"/>
          <w:color w:val="000000"/>
          <w:kern w:val="0"/>
          <w:sz w:val="42"/>
          <w:szCs w:val="42"/>
        </w:rPr>
      </w:pPr>
    </w:p>
    <w:p w14:paraId="34649EB3">
      <w:pPr>
        <w:spacing w:line="540" w:lineRule="exact"/>
        <w:jc w:val="center"/>
        <w:rPr>
          <w:rFonts w:ascii="仿宋_GB2312" w:hAnsi="华文中宋" w:eastAsia="仿宋_GB2312" w:cs="TT4AC8C67DtCID-WinCharSetFFFF-H"/>
          <w:color w:val="000000"/>
          <w:kern w:val="0"/>
          <w:sz w:val="42"/>
          <w:szCs w:val="42"/>
        </w:rPr>
      </w:pPr>
    </w:p>
    <w:p w14:paraId="666EF841">
      <w:pPr>
        <w:spacing w:line="540" w:lineRule="exact"/>
        <w:jc w:val="center"/>
        <w:rPr>
          <w:rFonts w:ascii="仿宋_GB2312" w:hAnsi="华文中宋" w:eastAsia="仿宋_GB2312" w:cs="TT4AC8C67DtCID-WinCharSetFFFF-H"/>
          <w:color w:val="000000"/>
          <w:kern w:val="0"/>
          <w:sz w:val="42"/>
          <w:szCs w:val="42"/>
        </w:rPr>
      </w:pPr>
    </w:p>
    <w:p w14:paraId="0E0E19D1">
      <w:pPr>
        <w:spacing w:line="540" w:lineRule="exact"/>
        <w:jc w:val="center"/>
        <w:rPr>
          <w:rFonts w:ascii="仿宋_GB2312" w:hAnsi="华文中宋" w:eastAsia="仿宋_GB2312" w:cs="TT4AC8C67DtCID-WinCharSetFFFF-H"/>
          <w:color w:val="000000"/>
          <w:kern w:val="0"/>
          <w:sz w:val="42"/>
          <w:szCs w:val="42"/>
        </w:rPr>
      </w:pPr>
    </w:p>
    <w:p w14:paraId="78BDDD4E">
      <w:pPr>
        <w:spacing w:line="540" w:lineRule="exact"/>
        <w:jc w:val="center"/>
        <w:rPr>
          <w:rFonts w:ascii="仿宋_GB2312" w:hAnsi="华文中宋" w:eastAsia="仿宋_GB2312" w:cs="TT4AC8C67DtCID-WinCharSetFFFF-H"/>
          <w:color w:val="000000"/>
          <w:kern w:val="0"/>
          <w:sz w:val="42"/>
          <w:szCs w:val="42"/>
        </w:rPr>
      </w:pPr>
    </w:p>
    <w:p w14:paraId="40D34B21">
      <w:pPr>
        <w:spacing w:line="540" w:lineRule="exact"/>
        <w:jc w:val="center"/>
        <w:rPr>
          <w:rFonts w:ascii="仿宋_GB2312" w:hAnsi="华文中宋" w:eastAsia="仿宋_GB2312" w:cs="TT4AC8C67DtCID-WinCharSetFFFF-H"/>
          <w:color w:val="000000"/>
          <w:kern w:val="0"/>
          <w:sz w:val="42"/>
          <w:szCs w:val="42"/>
        </w:rPr>
      </w:pPr>
    </w:p>
    <w:p w14:paraId="7E8E79E9">
      <w:pPr>
        <w:spacing w:line="540" w:lineRule="exact"/>
        <w:jc w:val="center"/>
        <w:rPr>
          <w:rFonts w:ascii="仿宋_GB2312" w:hAnsi="华文中宋" w:eastAsia="仿宋_GB2312" w:cs="TT4AC8C67DtCID-WinCharSetFFFF-H"/>
          <w:color w:val="000000"/>
          <w:kern w:val="0"/>
          <w:sz w:val="42"/>
          <w:szCs w:val="42"/>
        </w:rPr>
      </w:pPr>
    </w:p>
    <w:p w14:paraId="16AF823E">
      <w:pPr>
        <w:spacing w:line="540" w:lineRule="exact"/>
        <w:jc w:val="center"/>
        <w:rPr>
          <w:rFonts w:ascii="仿宋_GB2312" w:hAnsi="华文中宋" w:eastAsia="仿宋_GB2312" w:cs="TT4AC8C67DtCID-WinCharSetFFFF-H"/>
          <w:color w:val="000000"/>
          <w:kern w:val="0"/>
          <w:sz w:val="42"/>
          <w:szCs w:val="42"/>
        </w:rPr>
      </w:pPr>
    </w:p>
    <w:p w14:paraId="2C3C50E8">
      <w:pPr>
        <w:spacing w:line="540" w:lineRule="exact"/>
        <w:jc w:val="center"/>
        <w:rPr>
          <w:rFonts w:ascii="仿宋_GB2312" w:hAnsi="华文中宋" w:eastAsia="仿宋_GB2312" w:cs="TT4AC8C67DtCID-WinCharSetFFFF-H"/>
          <w:color w:val="000000"/>
          <w:kern w:val="0"/>
          <w:sz w:val="42"/>
          <w:szCs w:val="42"/>
        </w:rPr>
      </w:pPr>
    </w:p>
    <w:p w14:paraId="55825A18">
      <w:pPr>
        <w:spacing w:line="540" w:lineRule="exact"/>
        <w:jc w:val="center"/>
        <w:rPr>
          <w:rFonts w:ascii="仿宋_GB2312" w:hAnsi="华文中宋" w:eastAsia="仿宋_GB2312" w:cs="TT4AC8C67DtCID-WinCharSetFFFF-H"/>
          <w:color w:val="000000"/>
          <w:kern w:val="0"/>
          <w:sz w:val="42"/>
          <w:szCs w:val="42"/>
        </w:rPr>
      </w:pPr>
    </w:p>
    <w:p w14:paraId="77EF655B">
      <w:pPr>
        <w:spacing w:line="540" w:lineRule="exact"/>
        <w:jc w:val="center"/>
        <w:rPr>
          <w:rFonts w:ascii="仿宋_GB2312" w:hAnsi="华文中宋" w:eastAsia="仿宋_GB2312" w:cs="TT4AC8C67DtCID-WinCharSetFFFF-H"/>
          <w:color w:val="000000"/>
          <w:kern w:val="0"/>
          <w:sz w:val="42"/>
          <w:szCs w:val="42"/>
        </w:rPr>
      </w:pPr>
    </w:p>
    <w:p w14:paraId="00154CAD">
      <w:pPr>
        <w:spacing w:line="540" w:lineRule="exact"/>
        <w:jc w:val="center"/>
        <w:rPr>
          <w:rFonts w:ascii="仿宋_GB2312" w:hAnsi="华文中宋" w:eastAsia="仿宋_GB2312" w:cs="TT4AC8C67DtCID-WinCharSetFFFF-H"/>
          <w:color w:val="000000"/>
          <w:kern w:val="0"/>
          <w:sz w:val="42"/>
          <w:szCs w:val="42"/>
        </w:rPr>
      </w:pPr>
    </w:p>
    <w:p w14:paraId="51441775">
      <w:pPr>
        <w:spacing w:line="540" w:lineRule="exact"/>
        <w:jc w:val="center"/>
        <w:rPr>
          <w:rFonts w:ascii="仿宋_GB2312" w:hAnsi="华文中宋" w:eastAsia="仿宋_GB2312" w:cs="TT4AC8C67DtCID-WinCharSetFFFF-H"/>
          <w:color w:val="000000"/>
          <w:kern w:val="0"/>
          <w:sz w:val="42"/>
          <w:szCs w:val="42"/>
        </w:rPr>
      </w:pPr>
    </w:p>
    <w:p w14:paraId="11B07A09">
      <w:pPr>
        <w:spacing w:line="54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无锡交通分院</w:t>
      </w:r>
    </w:p>
    <w:p w14:paraId="2AFB79B2">
      <w:pPr>
        <w:spacing w:line="540" w:lineRule="exact"/>
        <w:jc w:val="center"/>
        <w:rPr>
          <w:rFonts w:ascii="仿宋_GB2312" w:hAnsi="华文中宋" w:eastAsia="仿宋_GB2312" w:cs="TT4AC8C67DtCID-WinCharSetFFFF-H"/>
          <w:color w:val="000000"/>
          <w:kern w:val="0"/>
          <w:sz w:val="42"/>
          <w:szCs w:val="42"/>
        </w:rPr>
      </w:pPr>
      <w:r>
        <w:rPr>
          <w:rFonts w:hint="eastAsia" w:ascii="仿宋_GB2312" w:hAnsi="华文中宋" w:eastAsia="仿宋_GB2312" w:cs="TT4AC8C67DtCID-WinCharSetFFFF-H"/>
          <w:color w:val="000000"/>
          <w:kern w:val="0"/>
          <w:sz w:val="42"/>
          <w:szCs w:val="42"/>
        </w:rPr>
        <w:t>202</w:t>
      </w:r>
      <w:r>
        <w:rPr>
          <w:rFonts w:hint="eastAsia" w:ascii="仿宋_GB2312" w:hAnsi="华文中宋" w:eastAsia="仿宋_GB2312" w:cs="TT4AC8C67DtCID-WinCharSetFFFF-H"/>
          <w:color w:val="000000"/>
          <w:kern w:val="0"/>
          <w:sz w:val="42"/>
          <w:szCs w:val="42"/>
          <w:lang w:val="en-US" w:eastAsia="zh-CN"/>
        </w:rPr>
        <w:t>5</w:t>
      </w:r>
      <w:r>
        <w:rPr>
          <w:rFonts w:hint="eastAsia" w:ascii="仿宋_GB2312" w:hAnsi="华文中宋" w:eastAsia="仿宋_GB2312" w:cs="TT4AC8C67DtCID-WinCharSetFFFF-H"/>
          <w:color w:val="000000"/>
          <w:kern w:val="0"/>
          <w:sz w:val="42"/>
          <w:szCs w:val="42"/>
        </w:rPr>
        <w:t>年12月5日</w:t>
      </w:r>
    </w:p>
    <w:p w14:paraId="78499519">
      <w:pPr>
        <w:spacing w:line="360" w:lineRule="auto"/>
        <w:ind w:left="210" w:firstLine="723" w:firstLineChars="200"/>
        <w:jc w:val="center"/>
        <w:rPr>
          <w:rFonts w:hint="eastAsia" w:ascii="宋体" w:hAnsi="宋体" w:eastAsia="宋体"/>
          <w:b/>
          <w:bCs/>
          <w:sz w:val="36"/>
          <w:szCs w:val="36"/>
          <w:lang w:val="en-US" w:eastAsia="zh-CN"/>
        </w:rPr>
        <w:sectPr>
          <w:pgSz w:w="11906" w:h="16838"/>
          <w:pgMar w:top="1440" w:right="1800" w:bottom="1440" w:left="1800" w:header="851" w:footer="992" w:gutter="0"/>
          <w:cols w:space="425" w:num="1"/>
          <w:docGrid w:type="lines" w:linePitch="312" w:charSpace="0"/>
        </w:sectPr>
      </w:pPr>
    </w:p>
    <w:p w14:paraId="6127BDA1">
      <w:pPr>
        <w:spacing w:line="540" w:lineRule="exact"/>
        <w:jc w:val="center"/>
        <w:rPr>
          <w:rFonts w:ascii="仿宋_GB2312" w:hAnsi="华文中宋" w:eastAsia="仿宋_GB2312" w:cs="TT4AC8C67DtCID-WinCharSetFFFF-H"/>
          <w:color w:val="000000"/>
          <w:kern w:val="0"/>
          <w:sz w:val="42"/>
          <w:szCs w:val="42"/>
        </w:rPr>
      </w:pPr>
    </w:p>
    <w:p w14:paraId="540A1954">
      <w:pPr>
        <w:spacing w:line="360" w:lineRule="auto"/>
        <w:ind w:left="210" w:firstLine="723" w:firstLineChars="200"/>
        <w:jc w:val="center"/>
        <w:rPr>
          <w:rFonts w:hint="eastAsia" w:ascii="宋体" w:hAnsi="宋体" w:eastAsia="宋体"/>
          <w:b/>
          <w:bCs/>
          <w:sz w:val="32"/>
          <w:szCs w:val="32"/>
          <w:lang w:val="en-US" w:eastAsia="zh-CN"/>
        </w:rPr>
      </w:pPr>
      <w:r>
        <w:rPr>
          <w:rFonts w:hint="eastAsia" w:ascii="宋体" w:hAnsi="宋体" w:eastAsia="宋体"/>
          <w:b/>
          <w:bCs/>
          <w:sz w:val="36"/>
          <w:szCs w:val="36"/>
          <w:lang w:val="en-US" w:eastAsia="zh-CN"/>
        </w:rPr>
        <w:t>目 录</w:t>
      </w:r>
    </w:p>
    <w:p w14:paraId="32B2EC12">
      <w:pPr>
        <w:autoSpaceDE w:val="0"/>
        <w:autoSpaceDN w:val="0"/>
        <w:adjustRightInd w:val="0"/>
        <w:spacing w:line="540" w:lineRule="exact"/>
        <w:ind w:left="210"/>
        <w:jc w:val="left"/>
        <w:rPr>
          <w:rFonts w:hint="eastAsia" w:ascii="仿宋_GB2312" w:hAnsi="华文中宋" w:eastAsia="仿宋_GB2312" w:cs="TT4AC8C67DtCID-WinCharSetFFFF-H"/>
          <w:color w:val="000000"/>
          <w:kern w:val="0"/>
          <w:sz w:val="28"/>
          <w:szCs w:val="28"/>
        </w:rPr>
      </w:pPr>
    </w:p>
    <w:sdt>
      <w:sdtPr>
        <w:rPr>
          <w:rFonts w:hint="eastAsia" w:ascii="宋体" w:hAnsi="宋体" w:eastAsia="宋体" w:cs="宋体"/>
          <w:kern w:val="2"/>
          <w:sz w:val="28"/>
          <w:szCs w:val="28"/>
          <w:lang w:val="en-US" w:eastAsia="zh-CN" w:bidi="ar-SA"/>
        </w:rPr>
        <w:id w:val="147475552"/>
        <w15:color w:val="DBDBDB"/>
        <w:docPartObj>
          <w:docPartGallery w:val="Table of Contents"/>
          <w:docPartUnique/>
        </w:docPartObj>
      </w:sdtPr>
      <w:sdtEndPr>
        <w:rPr>
          <w:rFonts w:hint="eastAsia" w:ascii="宋体" w:hAnsi="宋体" w:eastAsia="宋体" w:cs="宋体"/>
          <w:bCs/>
          <w:kern w:val="2"/>
          <w:sz w:val="21"/>
          <w:szCs w:val="28"/>
          <w:lang w:val="en-US" w:eastAsia="zh-CN" w:bidi="ar-SA"/>
        </w:rPr>
      </w:sdtEndPr>
      <w:sdtContent>
        <w:p w14:paraId="11831E0C">
          <w:pPr>
            <w:spacing w:before="0" w:beforeLines="0" w:after="0" w:afterLines="0" w:line="240" w:lineRule="auto"/>
            <w:ind w:left="0" w:leftChars="0" w:right="0" w:rightChars="0" w:firstLine="0" w:firstLineChars="0"/>
            <w:jc w:val="center"/>
            <w:rPr>
              <w:rFonts w:hint="eastAsia" w:ascii="宋体" w:hAnsi="宋体" w:eastAsia="宋体" w:cs="宋体"/>
              <w:sz w:val="28"/>
              <w:szCs w:val="28"/>
            </w:rPr>
          </w:pPr>
        </w:p>
        <w:p w14:paraId="773A5ECF">
          <w:pPr>
            <w:pStyle w:val="7"/>
            <w:tabs>
              <w:tab w:val="right" w:leader="dot" w:pos="8306"/>
            </w:tabs>
            <w:rPr>
              <w:rFonts w:hint="eastAsia" w:ascii="宋体" w:hAnsi="宋体" w:eastAsia="宋体" w:cs="宋体"/>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TOC \o "1-1" \h \u </w:instrText>
          </w:r>
          <w:r>
            <w:rPr>
              <w:rFonts w:hint="eastAsia" w:ascii="宋体" w:hAnsi="宋体" w:eastAsia="宋体" w:cs="宋体"/>
              <w:b/>
              <w:bCs/>
              <w:sz w:val="28"/>
              <w:szCs w:val="28"/>
            </w:rPr>
            <w:fldChar w:fldCharType="separate"/>
          </w: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_Toc22476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一、概况</w:t>
          </w:r>
          <w:bookmarkStart w:id="13" w:name="_GoBack"/>
          <w:bookmarkEnd w:id="13"/>
          <w:r>
            <w:rPr>
              <w:rFonts w:hint="eastAsia" w:ascii="宋体" w:hAnsi="宋体" w:eastAsia="宋体" w:cs="宋体"/>
              <w:sz w:val="28"/>
              <w:szCs w:val="28"/>
            </w:rPr>
            <w:tab/>
          </w:r>
          <w:r>
            <w:rPr>
              <w:rFonts w:hint="eastAsia" w:ascii="宋体" w:hAnsi="宋体" w:cs="宋体"/>
              <w:sz w:val="28"/>
              <w:szCs w:val="28"/>
              <w:lang w:val="en-US" w:eastAsia="zh-CN"/>
            </w:rPr>
            <w:t>1</w:t>
          </w:r>
          <w:r>
            <w:rPr>
              <w:rFonts w:hint="eastAsia" w:ascii="宋体" w:hAnsi="宋体" w:eastAsia="宋体" w:cs="宋体"/>
              <w:bCs/>
              <w:sz w:val="28"/>
              <w:szCs w:val="28"/>
            </w:rPr>
            <w:fldChar w:fldCharType="end"/>
          </w:r>
        </w:p>
        <w:p w14:paraId="478620DF">
          <w:pPr>
            <w:pStyle w:val="7"/>
            <w:tabs>
              <w:tab w:val="right" w:leader="dot" w:pos="8306"/>
            </w:tabs>
            <w:rPr>
              <w:rFonts w:hint="eastAsia" w:ascii="宋体" w:hAnsi="宋体" w:eastAsia="宋体" w:cs="宋体"/>
              <w:sz w:val="28"/>
              <w:szCs w:val="28"/>
            </w:rPr>
          </w:pP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_Toc22615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二、参与办学</w:t>
          </w:r>
          <w:r>
            <w:rPr>
              <w:rFonts w:hint="eastAsia" w:ascii="宋体" w:hAnsi="宋体" w:eastAsia="宋体" w:cs="宋体"/>
              <w:sz w:val="28"/>
              <w:szCs w:val="28"/>
            </w:rPr>
            <w:tab/>
          </w:r>
          <w:r>
            <w:rPr>
              <w:rFonts w:hint="eastAsia" w:ascii="宋体" w:hAnsi="宋体" w:cs="宋体"/>
              <w:sz w:val="28"/>
              <w:szCs w:val="28"/>
              <w:lang w:val="en-US" w:eastAsia="zh-CN"/>
            </w:rPr>
            <w:t>2</w:t>
          </w:r>
          <w:r>
            <w:rPr>
              <w:rFonts w:hint="eastAsia" w:ascii="宋体" w:hAnsi="宋体" w:eastAsia="宋体" w:cs="宋体"/>
              <w:bCs/>
              <w:sz w:val="28"/>
              <w:szCs w:val="28"/>
            </w:rPr>
            <w:fldChar w:fldCharType="end"/>
          </w:r>
        </w:p>
        <w:p w14:paraId="6D64FB67">
          <w:pPr>
            <w:pStyle w:val="7"/>
            <w:tabs>
              <w:tab w:val="right" w:leader="dot" w:pos="8306"/>
            </w:tabs>
            <w:rPr>
              <w:rFonts w:hint="eastAsia" w:ascii="宋体" w:hAnsi="宋体" w:eastAsia="宋体" w:cs="宋体"/>
              <w:sz w:val="28"/>
              <w:szCs w:val="28"/>
            </w:rPr>
          </w:pP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_Toc21495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三、资源投入</w:t>
          </w:r>
          <w:r>
            <w:rPr>
              <w:rFonts w:hint="eastAsia" w:ascii="宋体" w:hAnsi="宋体" w:eastAsia="宋体" w:cs="宋体"/>
              <w:sz w:val="28"/>
              <w:szCs w:val="28"/>
            </w:rPr>
            <w:tab/>
          </w:r>
          <w:r>
            <w:rPr>
              <w:rFonts w:hint="eastAsia" w:ascii="宋体" w:hAnsi="宋体" w:cs="宋体"/>
              <w:sz w:val="28"/>
              <w:szCs w:val="28"/>
              <w:lang w:val="en-US" w:eastAsia="zh-CN"/>
            </w:rPr>
            <w:t>2</w:t>
          </w:r>
          <w:r>
            <w:rPr>
              <w:rFonts w:hint="eastAsia" w:ascii="宋体" w:hAnsi="宋体" w:eastAsia="宋体" w:cs="宋体"/>
              <w:bCs/>
              <w:sz w:val="28"/>
              <w:szCs w:val="28"/>
            </w:rPr>
            <w:fldChar w:fldCharType="end"/>
          </w:r>
        </w:p>
        <w:p w14:paraId="230E1AA0">
          <w:pPr>
            <w:pStyle w:val="7"/>
            <w:tabs>
              <w:tab w:val="right" w:leader="dot" w:pos="8306"/>
            </w:tabs>
            <w:rPr>
              <w:rFonts w:hint="eastAsia" w:ascii="宋体" w:hAnsi="宋体" w:eastAsia="宋体" w:cs="宋体"/>
              <w:sz w:val="28"/>
              <w:szCs w:val="28"/>
            </w:rPr>
          </w:pP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_Toc8977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四、参与教学</w:t>
          </w:r>
          <w:r>
            <w:rPr>
              <w:rFonts w:hint="eastAsia" w:ascii="宋体" w:hAnsi="宋体" w:eastAsia="宋体" w:cs="宋体"/>
              <w:sz w:val="28"/>
              <w:szCs w:val="28"/>
            </w:rPr>
            <w:tab/>
          </w:r>
          <w:r>
            <w:rPr>
              <w:rFonts w:hint="eastAsia" w:ascii="宋体" w:hAnsi="宋体" w:cs="宋体"/>
              <w:sz w:val="28"/>
              <w:szCs w:val="28"/>
              <w:lang w:val="en-US" w:eastAsia="zh-CN"/>
            </w:rPr>
            <w:t>4</w:t>
          </w:r>
          <w:r>
            <w:rPr>
              <w:rFonts w:hint="eastAsia" w:ascii="宋体" w:hAnsi="宋体" w:eastAsia="宋体" w:cs="宋体"/>
              <w:bCs/>
              <w:sz w:val="28"/>
              <w:szCs w:val="28"/>
            </w:rPr>
            <w:fldChar w:fldCharType="end"/>
          </w:r>
        </w:p>
        <w:p w14:paraId="147F160F">
          <w:pPr>
            <w:pStyle w:val="7"/>
            <w:tabs>
              <w:tab w:val="right" w:leader="dot" w:pos="8306"/>
            </w:tabs>
            <w:rPr>
              <w:rFonts w:hint="eastAsia" w:ascii="宋体" w:hAnsi="宋体" w:eastAsia="宋体" w:cs="宋体"/>
              <w:sz w:val="28"/>
              <w:szCs w:val="28"/>
            </w:rPr>
          </w:pP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_Toc20399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五、助推企业发展</w:t>
          </w:r>
          <w:r>
            <w:rPr>
              <w:rFonts w:hint="eastAsia" w:ascii="宋体" w:hAnsi="宋体" w:eastAsia="宋体" w:cs="宋体"/>
              <w:sz w:val="28"/>
              <w:szCs w:val="28"/>
            </w:rPr>
            <w:tab/>
          </w:r>
          <w:r>
            <w:rPr>
              <w:rFonts w:hint="eastAsia" w:ascii="宋体" w:hAnsi="宋体" w:cs="宋体"/>
              <w:sz w:val="28"/>
              <w:szCs w:val="28"/>
              <w:lang w:val="en-US" w:eastAsia="zh-CN"/>
            </w:rPr>
            <w:t>6</w:t>
          </w:r>
          <w:r>
            <w:rPr>
              <w:rFonts w:hint="eastAsia" w:ascii="宋体" w:hAnsi="宋体" w:eastAsia="宋体" w:cs="宋体"/>
              <w:bCs/>
              <w:sz w:val="28"/>
              <w:szCs w:val="28"/>
            </w:rPr>
            <w:fldChar w:fldCharType="end"/>
          </w:r>
        </w:p>
        <w:p w14:paraId="3FC50310">
          <w:pPr>
            <w:pStyle w:val="7"/>
            <w:tabs>
              <w:tab w:val="right" w:leader="dot" w:pos="8306"/>
            </w:tabs>
            <w:rPr>
              <w:rFonts w:hint="eastAsia" w:ascii="宋体" w:hAnsi="宋体" w:eastAsia="宋体" w:cs="宋体"/>
              <w:sz w:val="28"/>
              <w:szCs w:val="28"/>
            </w:rPr>
          </w:pP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_Toc2635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六</w:t>
          </w:r>
          <w:r>
            <w:rPr>
              <w:rFonts w:hint="eastAsia" w:ascii="宋体" w:hAnsi="宋体" w:eastAsia="宋体" w:cs="宋体"/>
              <w:sz w:val="28"/>
              <w:szCs w:val="28"/>
              <w:lang w:val="en-US" w:eastAsia="zh-Hans"/>
            </w:rPr>
            <w:t>、</w:t>
          </w:r>
          <w:r>
            <w:rPr>
              <w:rFonts w:hint="eastAsia" w:ascii="宋体" w:hAnsi="宋体" w:eastAsia="宋体" w:cs="宋体"/>
              <w:sz w:val="28"/>
              <w:szCs w:val="28"/>
              <w:lang w:val="en-US" w:eastAsia="zh-CN"/>
            </w:rPr>
            <w:t>保障体系</w:t>
          </w:r>
          <w:r>
            <w:rPr>
              <w:rFonts w:hint="eastAsia" w:ascii="宋体" w:hAnsi="宋体" w:eastAsia="宋体" w:cs="宋体"/>
              <w:sz w:val="28"/>
              <w:szCs w:val="28"/>
            </w:rPr>
            <w:tab/>
          </w:r>
          <w:r>
            <w:rPr>
              <w:rFonts w:hint="eastAsia" w:ascii="宋体" w:hAnsi="宋体" w:cs="宋体"/>
              <w:sz w:val="28"/>
              <w:szCs w:val="28"/>
              <w:lang w:val="en-US" w:eastAsia="zh-CN"/>
            </w:rPr>
            <w:t>6</w:t>
          </w:r>
          <w:r>
            <w:rPr>
              <w:rFonts w:hint="eastAsia" w:ascii="宋体" w:hAnsi="宋体" w:eastAsia="宋体" w:cs="宋体"/>
              <w:bCs/>
              <w:sz w:val="28"/>
              <w:szCs w:val="28"/>
            </w:rPr>
            <w:fldChar w:fldCharType="end"/>
          </w:r>
        </w:p>
        <w:p w14:paraId="4D1BDA4A">
          <w:pPr>
            <w:pStyle w:val="7"/>
            <w:tabs>
              <w:tab w:val="right" w:leader="dot" w:pos="8306"/>
            </w:tabs>
            <w:rPr>
              <w:rFonts w:hint="eastAsia" w:ascii="宋体" w:hAnsi="宋体" w:eastAsia="宋体" w:cs="宋体"/>
              <w:sz w:val="28"/>
              <w:szCs w:val="28"/>
            </w:rPr>
          </w:pPr>
          <w:r>
            <w:rPr>
              <w:rFonts w:hint="eastAsia" w:ascii="宋体" w:hAnsi="宋体" w:eastAsia="宋体" w:cs="宋体"/>
              <w:bCs/>
              <w:sz w:val="28"/>
              <w:szCs w:val="28"/>
            </w:rPr>
            <w:fldChar w:fldCharType="begin"/>
          </w:r>
          <w:r>
            <w:rPr>
              <w:rFonts w:hint="eastAsia" w:ascii="宋体" w:hAnsi="宋体" w:eastAsia="宋体" w:cs="宋体"/>
              <w:bCs/>
              <w:sz w:val="28"/>
              <w:szCs w:val="28"/>
            </w:rPr>
            <w:instrText xml:space="preserve"> HYPERLINK \l _Toc1562 </w:instrText>
          </w:r>
          <w:r>
            <w:rPr>
              <w:rFonts w:hint="eastAsia" w:ascii="宋体" w:hAnsi="宋体" w:eastAsia="宋体" w:cs="宋体"/>
              <w:bCs/>
              <w:sz w:val="28"/>
              <w:szCs w:val="28"/>
            </w:rPr>
            <w:fldChar w:fldCharType="separate"/>
          </w:r>
          <w:r>
            <w:rPr>
              <w:rFonts w:hint="eastAsia" w:ascii="宋体" w:hAnsi="宋体" w:eastAsia="宋体" w:cs="宋体"/>
              <w:sz w:val="28"/>
              <w:szCs w:val="28"/>
              <w:lang w:val="en-US" w:eastAsia="zh-CN"/>
            </w:rPr>
            <w:t>七</w:t>
          </w:r>
          <w:r>
            <w:rPr>
              <w:rFonts w:hint="eastAsia" w:ascii="宋体" w:hAnsi="宋体" w:eastAsia="宋体" w:cs="宋体"/>
              <w:sz w:val="28"/>
              <w:szCs w:val="28"/>
              <w:lang w:val="en-US" w:eastAsia="zh-Hans"/>
            </w:rPr>
            <w:t>、</w:t>
          </w:r>
          <w:r>
            <w:rPr>
              <w:rFonts w:hint="eastAsia" w:ascii="宋体" w:hAnsi="宋体" w:cs="宋体"/>
              <w:sz w:val="28"/>
              <w:szCs w:val="28"/>
              <w:lang w:val="en-US" w:eastAsia="zh-CN"/>
            </w:rPr>
            <w:t>总结</w:t>
          </w:r>
          <w:r>
            <w:rPr>
              <w:rFonts w:hint="eastAsia" w:ascii="宋体" w:hAnsi="宋体" w:eastAsia="宋体" w:cs="宋体"/>
              <w:sz w:val="28"/>
              <w:szCs w:val="28"/>
              <w:lang w:val="en-US" w:eastAsia="zh-CN"/>
            </w:rPr>
            <w:t>与展望</w:t>
          </w:r>
          <w:r>
            <w:rPr>
              <w:rFonts w:hint="eastAsia" w:ascii="宋体" w:hAnsi="宋体" w:eastAsia="宋体" w:cs="宋体"/>
              <w:sz w:val="28"/>
              <w:szCs w:val="28"/>
            </w:rPr>
            <w:tab/>
          </w:r>
          <w:r>
            <w:rPr>
              <w:rFonts w:hint="eastAsia" w:ascii="宋体" w:hAnsi="宋体" w:cs="宋体"/>
              <w:sz w:val="28"/>
              <w:szCs w:val="28"/>
              <w:lang w:val="en-US" w:eastAsia="zh-CN"/>
            </w:rPr>
            <w:t>7</w:t>
          </w:r>
          <w:r>
            <w:rPr>
              <w:rFonts w:hint="eastAsia" w:ascii="宋体" w:hAnsi="宋体" w:eastAsia="宋体" w:cs="宋体"/>
              <w:bCs/>
              <w:sz w:val="28"/>
              <w:szCs w:val="28"/>
            </w:rPr>
            <w:fldChar w:fldCharType="end"/>
          </w:r>
        </w:p>
        <w:p w14:paraId="6F1B7323">
          <w:pPr>
            <w:spacing w:line="500" w:lineRule="exact"/>
            <w:ind w:firstLine="560" w:firstLineChars="200"/>
            <w:jc w:val="left"/>
            <w:rPr>
              <w:rFonts w:hint="eastAsia" w:ascii="宋体" w:hAnsi="宋体" w:eastAsia="宋体" w:cs="宋体"/>
              <w:bCs/>
              <w:kern w:val="2"/>
              <w:sz w:val="21"/>
              <w:szCs w:val="28"/>
              <w:lang w:val="en-US" w:eastAsia="zh-CN" w:bidi="ar-SA"/>
            </w:rPr>
          </w:pPr>
          <w:r>
            <w:rPr>
              <w:rFonts w:hint="eastAsia" w:ascii="宋体" w:hAnsi="宋体" w:eastAsia="宋体" w:cs="宋体"/>
              <w:bCs/>
              <w:sz w:val="28"/>
              <w:szCs w:val="28"/>
            </w:rPr>
            <w:fldChar w:fldCharType="end"/>
          </w:r>
        </w:p>
      </w:sdtContent>
    </w:sdt>
    <w:p w14:paraId="2EA6C709">
      <w:pPr>
        <w:spacing w:line="500" w:lineRule="exact"/>
        <w:ind w:firstLine="420" w:firstLineChars="200"/>
        <w:jc w:val="left"/>
        <w:rPr>
          <w:rFonts w:hint="eastAsia" w:ascii="宋体" w:hAnsi="宋体" w:eastAsia="宋体" w:cs="宋体"/>
          <w:bCs/>
          <w:kern w:val="2"/>
          <w:sz w:val="21"/>
          <w:szCs w:val="28"/>
          <w:lang w:val="en-US" w:eastAsia="zh-CN" w:bidi="ar-SA"/>
        </w:rPr>
      </w:pPr>
    </w:p>
    <w:p w14:paraId="4B2132E6">
      <w:pPr>
        <w:spacing w:line="500" w:lineRule="exact"/>
        <w:ind w:firstLine="562" w:firstLineChars="200"/>
        <w:jc w:val="left"/>
        <w:rPr>
          <w:rFonts w:hint="eastAsia" w:ascii="宋体" w:hAnsi="宋体" w:cs="宋体"/>
          <w:b/>
          <w:bCs/>
          <w:sz w:val="28"/>
          <w:szCs w:val="28"/>
        </w:rPr>
      </w:pPr>
    </w:p>
    <w:p w14:paraId="24881110">
      <w:pPr>
        <w:spacing w:line="500" w:lineRule="exact"/>
        <w:ind w:firstLine="562" w:firstLineChars="200"/>
        <w:jc w:val="left"/>
        <w:rPr>
          <w:rFonts w:hint="eastAsia" w:ascii="宋体" w:hAnsi="宋体" w:cs="宋体"/>
          <w:b/>
          <w:bCs/>
          <w:sz w:val="28"/>
          <w:szCs w:val="28"/>
        </w:rPr>
      </w:pPr>
    </w:p>
    <w:p w14:paraId="6B6F4DB8">
      <w:pPr>
        <w:spacing w:line="500" w:lineRule="exact"/>
        <w:ind w:firstLine="562" w:firstLineChars="200"/>
        <w:jc w:val="left"/>
        <w:rPr>
          <w:rFonts w:hint="eastAsia" w:ascii="宋体" w:hAnsi="宋体" w:cs="宋体"/>
          <w:b/>
          <w:bCs/>
          <w:sz w:val="28"/>
          <w:szCs w:val="28"/>
        </w:rPr>
      </w:pPr>
    </w:p>
    <w:p w14:paraId="396DAAFE">
      <w:pPr>
        <w:spacing w:line="500" w:lineRule="exact"/>
        <w:ind w:firstLine="562" w:firstLineChars="200"/>
        <w:jc w:val="left"/>
        <w:rPr>
          <w:rFonts w:hint="eastAsia" w:ascii="宋体" w:hAnsi="宋体" w:cs="宋体"/>
          <w:b/>
          <w:bCs/>
          <w:sz w:val="28"/>
          <w:szCs w:val="28"/>
        </w:rPr>
      </w:pPr>
    </w:p>
    <w:p w14:paraId="56A54721">
      <w:pPr>
        <w:spacing w:line="500" w:lineRule="exact"/>
        <w:ind w:firstLine="562" w:firstLineChars="200"/>
        <w:jc w:val="left"/>
        <w:rPr>
          <w:rFonts w:hint="eastAsia" w:ascii="宋体" w:hAnsi="宋体" w:cs="宋体"/>
          <w:b/>
          <w:bCs/>
          <w:sz w:val="28"/>
          <w:szCs w:val="28"/>
        </w:rPr>
      </w:pPr>
    </w:p>
    <w:p w14:paraId="09AB49B3">
      <w:pPr>
        <w:spacing w:line="500" w:lineRule="exact"/>
        <w:ind w:firstLine="562" w:firstLineChars="200"/>
        <w:jc w:val="left"/>
        <w:rPr>
          <w:rFonts w:hint="eastAsia" w:ascii="宋体" w:hAnsi="宋体" w:cs="宋体"/>
          <w:b/>
          <w:bCs/>
          <w:sz w:val="28"/>
          <w:szCs w:val="28"/>
        </w:rPr>
      </w:pPr>
    </w:p>
    <w:p w14:paraId="166C5BF4">
      <w:pPr>
        <w:spacing w:line="500" w:lineRule="exact"/>
        <w:ind w:firstLine="562" w:firstLineChars="200"/>
        <w:jc w:val="left"/>
        <w:rPr>
          <w:rFonts w:hint="eastAsia" w:ascii="宋体" w:hAnsi="宋体" w:cs="宋体"/>
          <w:b/>
          <w:bCs/>
          <w:sz w:val="28"/>
          <w:szCs w:val="28"/>
        </w:rPr>
      </w:pPr>
    </w:p>
    <w:p w14:paraId="2710698A">
      <w:pPr>
        <w:spacing w:line="500" w:lineRule="exact"/>
        <w:ind w:firstLine="562" w:firstLineChars="200"/>
        <w:jc w:val="left"/>
        <w:rPr>
          <w:rFonts w:hint="eastAsia" w:ascii="宋体" w:hAnsi="宋体" w:cs="宋体"/>
          <w:b/>
          <w:bCs/>
          <w:sz w:val="28"/>
          <w:szCs w:val="28"/>
        </w:rPr>
      </w:pPr>
    </w:p>
    <w:p w14:paraId="3A10EDCF">
      <w:pPr>
        <w:spacing w:line="500" w:lineRule="exact"/>
        <w:ind w:firstLine="562" w:firstLineChars="200"/>
        <w:jc w:val="left"/>
        <w:rPr>
          <w:rFonts w:hint="eastAsia" w:ascii="宋体" w:hAnsi="宋体" w:cs="宋体"/>
          <w:b/>
          <w:bCs/>
          <w:sz w:val="28"/>
          <w:szCs w:val="28"/>
        </w:rPr>
      </w:pPr>
    </w:p>
    <w:p w14:paraId="43FE9833">
      <w:pPr>
        <w:spacing w:line="500" w:lineRule="exact"/>
        <w:ind w:firstLine="562" w:firstLineChars="200"/>
        <w:jc w:val="left"/>
        <w:rPr>
          <w:rFonts w:hint="eastAsia" w:ascii="宋体" w:hAnsi="宋体" w:cs="宋体"/>
          <w:b/>
          <w:bCs/>
          <w:sz w:val="28"/>
          <w:szCs w:val="28"/>
        </w:rPr>
      </w:pPr>
    </w:p>
    <w:p w14:paraId="09FAFF87">
      <w:pPr>
        <w:spacing w:line="500" w:lineRule="exact"/>
        <w:ind w:firstLine="562" w:firstLineChars="200"/>
        <w:jc w:val="left"/>
        <w:rPr>
          <w:rFonts w:hint="eastAsia" w:ascii="宋体" w:hAnsi="宋体" w:cs="宋体"/>
          <w:b/>
          <w:bCs/>
          <w:sz w:val="28"/>
          <w:szCs w:val="28"/>
        </w:rPr>
      </w:pPr>
    </w:p>
    <w:p w14:paraId="6CECB55F">
      <w:pPr>
        <w:spacing w:line="500" w:lineRule="exact"/>
        <w:ind w:firstLine="562" w:firstLineChars="200"/>
        <w:jc w:val="left"/>
        <w:rPr>
          <w:rFonts w:hint="eastAsia" w:ascii="宋体" w:hAnsi="宋体" w:cs="宋体"/>
          <w:b/>
          <w:bCs/>
          <w:sz w:val="28"/>
          <w:szCs w:val="28"/>
        </w:rPr>
      </w:pPr>
    </w:p>
    <w:p w14:paraId="02CA2220">
      <w:pPr>
        <w:pStyle w:val="2"/>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sz w:val="32"/>
          <w:szCs w:val="32"/>
          <w:lang w:val="en-US" w:eastAsia="zh-CN"/>
        </w:rPr>
        <w:sectPr>
          <w:footerReference r:id="rId3" w:type="default"/>
          <w:pgSz w:w="11906" w:h="16838"/>
          <w:pgMar w:top="1440" w:right="1800" w:bottom="1440" w:left="1800" w:header="851" w:footer="992" w:gutter="0"/>
          <w:pgNumType w:start="1"/>
          <w:cols w:space="425" w:num="1"/>
          <w:docGrid w:type="lines" w:linePitch="312" w:charSpace="0"/>
        </w:sectPr>
      </w:pPr>
      <w:bookmarkStart w:id="0" w:name="_Toc22476"/>
    </w:p>
    <w:p w14:paraId="5060BE63">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CN"/>
        </w:rPr>
      </w:pPr>
      <w:r>
        <w:rPr>
          <w:rFonts w:hint="eastAsia" w:ascii="黑体" w:hAnsi="黑体" w:eastAsia="黑体" w:cs="黑体"/>
          <w:b w:val="0"/>
          <w:bCs/>
          <w:sz w:val="28"/>
          <w:szCs w:val="28"/>
          <w:lang w:val="en-US" w:eastAsia="zh-CN"/>
        </w:rPr>
        <w:t>一、概况</w:t>
      </w:r>
      <w:bookmarkEnd w:id="0"/>
    </w:p>
    <w:p w14:paraId="2ADD54B4">
      <w:pPr>
        <w:pStyle w:val="8"/>
        <w:shd w:val="clear" w:color="auto" w:fill="FFFFFF"/>
        <w:spacing w:before="0" w:beforeAutospacing="0" w:after="0" w:afterAutospacing="0" w:line="360" w:lineRule="auto"/>
        <w:ind w:firstLine="560" w:firstLineChars="200"/>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Appen(澳鹏，ASX股票代码：APX)公司成立于1996年，是一家为人工智能及机器学习提供数据服务的高科技上市公司，总部位于悉尼。</w:t>
      </w:r>
    </w:p>
    <w:p w14:paraId="2DEA113B">
      <w:pPr>
        <w:pStyle w:val="8"/>
        <w:shd w:val="clear" w:color="auto" w:fill="FFFFFF"/>
        <w:spacing w:before="0" w:beforeAutospacing="0" w:after="0" w:afterAutospacing="0" w:line="360" w:lineRule="auto"/>
        <w:ind w:firstLine="560" w:firstLineChars="200"/>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澳鹏在数据语音语意、文字、图像、视频等领域的数据采集、数据标准化、数据标注、数据翻译和转注等服务达到了全球领先水平, 业务覆盖170多个国家和地区，支持230种多种语言的各类AI数据层服务，为全球高科技、汽车、消费电子、电子商务、金融服务、医疗健康及科研机构等行业提供高质、高效、安全的数据服务。全球十大高科技公司中有8家是澳鹏的长期客户。</w:t>
      </w:r>
    </w:p>
    <w:p w14:paraId="5C7BBD3C">
      <w:pPr>
        <w:pStyle w:val="8"/>
        <w:shd w:val="clear" w:color="auto" w:fill="FFFFFF"/>
        <w:spacing w:before="0" w:beforeAutospacing="0" w:after="0" w:afterAutospacing="0" w:line="360" w:lineRule="auto"/>
        <w:ind w:firstLine="560" w:firstLineChars="200"/>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作为人工智能数据服务的全球领导者，公司独树一帜的商业价值体现在：在AI人工智能数据服务领域已经耕耘20多年，作为澳大利亚的上市公司，财务优异稳健、在数据安全、保密、知识产权保护领先业界。拥有成熟的一站式AI辅助数据服务平台，具备优良的用户体验和领先机器学习辅助标注技术，可大大提升数据标注和工程效率。100万全球规模化的私有化和众包数据标注资源，覆盖170多个国家，235种语言，能使工程人员快速响应顾客的交付需求，完成高质量，符合全球安全规范的交付服务。深入的行业知识和理解，澳鹏长期为全球高科技、汽车、消费电子、电子商务、金融服务、医疗健康及科研机构等行业提供数据服务。灵活的交付方式，提供On-site、远程交付中心、安全家庭等交付模式，拥有在澳大利亚、美国、欧洲、菲律宾、中国等多家全球交付中心。</w:t>
      </w:r>
    </w:p>
    <w:p w14:paraId="04A41F96">
      <w:pPr>
        <w:pStyle w:val="8"/>
        <w:shd w:val="clear" w:color="auto" w:fill="FFFFFF"/>
        <w:spacing w:before="0" w:beforeAutospacing="0" w:after="0" w:afterAutospacing="0" w:line="360" w:lineRule="auto"/>
        <w:ind w:firstLine="560" w:firstLineChars="200"/>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2019年，澳鹏科技（无锡）有限公司成立，标志着澳鹏中国开始独立运营，目前澳鹏中国总部在上海，拥有无锡，大连，重庆和淮南4个国内交付中心，在菲律宾和越南分别建有两个海外交付基地，目前澳鹏中国，总员工数近3000人（含海外两个交付基地），是国内数据服务行业的头部企业。</w:t>
      </w:r>
    </w:p>
    <w:p w14:paraId="31BBC779">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CN"/>
        </w:rPr>
      </w:pPr>
      <w:bookmarkStart w:id="1" w:name="_Toc22615"/>
      <w:r>
        <w:rPr>
          <w:rFonts w:hint="eastAsia" w:ascii="黑体" w:hAnsi="黑体" w:eastAsia="黑体" w:cs="黑体"/>
          <w:b w:val="0"/>
          <w:bCs/>
          <w:sz w:val="28"/>
          <w:szCs w:val="28"/>
          <w:lang w:val="en-US" w:eastAsia="zh-CN"/>
        </w:rPr>
        <w:t>二、参与办学</w:t>
      </w:r>
      <w:bookmarkEnd w:id="1"/>
    </w:p>
    <w:p w14:paraId="7E2529DB">
      <w:pPr>
        <w:pStyle w:val="8"/>
        <w:shd w:val="clear" w:color="auto" w:fill="FFFFFF"/>
        <w:spacing w:before="0" w:beforeAutospacing="0" w:after="0" w:afterAutospacing="0" w:line="360" w:lineRule="auto"/>
        <w:ind w:firstLine="420"/>
        <w:rPr>
          <w:rFonts w:hint="eastAsia" w:ascii="宋体" w:hAnsi="宋体" w:eastAsia="宋体" w:cs="宋体"/>
          <w:b/>
          <w:sz w:val="28"/>
          <w:szCs w:val="28"/>
        </w:rPr>
      </w:pPr>
      <w:r>
        <w:rPr>
          <w:rFonts w:hint="eastAsia" w:ascii="宋体" w:hAnsi="宋体" w:eastAsia="宋体" w:cs="宋体"/>
          <w:kern w:val="2"/>
          <w:sz w:val="28"/>
          <w:szCs w:val="28"/>
          <w:lang w:val="en-US" w:eastAsia="zh-CN" w:bidi="ar-SA"/>
        </w:rPr>
        <w:t>澳鹏科技（无锡）有限公司作为计算机应用技术专业稳定的校外实训实习基地，学生和教师可完成程序设计、数据采集与分析、网络管理、信息系统运行维护、数字视觉设计、数据标注与训练等实习活动。计算机应用技术专业五年级学生每年到企业进行工学交替实习和岗位实习。根据企业生产经营周期或项目进展情况，制订学生工学交替实习和岗位实习期间的切实可行的教学计划,以保证实习期间工、学任务的顺利完成。同时，加强对学生的岗前思想教育，专职辅导员和实习专业指导教师定期到企业协助企业做好各项实习学生的管理工作；企业为岗位实习学生制订切实可行的岗位实习计划，提高学生的综合素质能力。</w:t>
      </w:r>
    </w:p>
    <w:p w14:paraId="1AE1E10A">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CN"/>
        </w:rPr>
      </w:pPr>
      <w:bookmarkStart w:id="2" w:name="_Toc21495"/>
      <w:bookmarkStart w:id="3" w:name="_Toc14247"/>
      <w:r>
        <w:rPr>
          <w:rFonts w:hint="eastAsia" w:ascii="黑体" w:hAnsi="黑体" w:eastAsia="黑体" w:cs="黑体"/>
          <w:b w:val="0"/>
          <w:bCs/>
          <w:sz w:val="28"/>
          <w:szCs w:val="28"/>
          <w:lang w:val="en-US" w:eastAsia="zh-CN"/>
        </w:rPr>
        <w:t>三、资源投入</w:t>
      </w:r>
      <w:bookmarkEnd w:id="2"/>
      <w:bookmarkEnd w:id="3"/>
    </w:p>
    <w:p w14:paraId="54BC20BC">
      <w:pPr>
        <w:spacing w:line="360" w:lineRule="auto"/>
        <w:ind w:left="0" w:leftChars="0" w:firstLine="560" w:firstLineChars="200"/>
        <w:jc w:val="left"/>
        <w:rPr>
          <w:rFonts w:hint="eastAsia" w:ascii="宋体" w:hAnsi="宋体" w:eastAsia="宋体" w:cs="宋体"/>
          <w:sz w:val="28"/>
          <w:szCs w:val="28"/>
        </w:rPr>
      </w:pPr>
      <w:r>
        <w:rPr>
          <w:rFonts w:hint="eastAsia" w:ascii="宋体" w:hAnsi="宋体" w:eastAsia="宋体" w:cs="宋体"/>
          <w:sz w:val="28"/>
          <w:szCs w:val="28"/>
        </w:rPr>
        <w:t>我校与</w:t>
      </w:r>
      <w:r>
        <w:rPr>
          <w:rFonts w:hint="eastAsia" w:ascii="宋体" w:hAnsi="宋体" w:eastAsia="宋体" w:cs="宋体"/>
          <w:sz w:val="28"/>
          <w:szCs w:val="28"/>
          <w:lang w:val="en-US" w:eastAsia="zh-CN"/>
        </w:rPr>
        <w:t>澳鹏科技（无锡）</w:t>
      </w:r>
      <w:r>
        <w:rPr>
          <w:rFonts w:hint="eastAsia" w:ascii="宋体" w:hAnsi="宋体" w:eastAsia="宋体" w:cs="宋体"/>
          <w:sz w:val="28"/>
          <w:szCs w:val="28"/>
        </w:rPr>
        <w:t>有限公司深入开展校企合作，共建了</w:t>
      </w:r>
      <w:r>
        <w:rPr>
          <w:rFonts w:hint="eastAsia" w:ascii="宋体" w:hAnsi="宋体" w:eastAsia="宋体" w:cs="宋体"/>
          <w:sz w:val="28"/>
          <w:szCs w:val="28"/>
          <w:lang w:val="en-US" w:eastAsia="zh-CN"/>
        </w:rPr>
        <w:t>教师企业工作站、</w:t>
      </w:r>
      <w:r>
        <w:rPr>
          <w:rFonts w:hint="eastAsia" w:ascii="宋体" w:hAnsi="宋体" w:eastAsia="宋体" w:cs="宋体"/>
          <w:sz w:val="28"/>
          <w:szCs w:val="28"/>
        </w:rPr>
        <w:t>校外实训基地，为学生技能训练、人才培养提供坚实平台。下一步，校企双方在人才培养方案修订、推进产学研一体化、组建师资团队、联合开发校本教材、共建校内外实训基地、定期开展人员交流互动等方面</w:t>
      </w:r>
      <w:r>
        <w:rPr>
          <w:rFonts w:hint="eastAsia" w:ascii="宋体" w:hAnsi="宋体" w:eastAsia="宋体" w:cs="宋体"/>
          <w:sz w:val="28"/>
          <w:szCs w:val="28"/>
          <w:lang w:val="en-US" w:eastAsia="zh-CN"/>
        </w:rPr>
        <w:t>进一步合作</w:t>
      </w:r>
      <w:r>
        <w:rPr>
          <w:rFonts w:hint="eastAsia" w:ascii="宋体" w:hAnsi="宋体" w:eastAsia="宋体" w:cs="宋体"/>
          <w:sz w:val="28"/>
          <w:szCs w:val="28"/>
        </w:rPr>
        <w:t>，培养更多高素质技术技能人才，推进学校高质量发展，服务企业发展和地方经济建设。</w:t>
      </w:r>
    </w:p>
    <w:p w14:paraId="62ABF091">
      <w:pPr>
        <w:spacing w:line="360" w:lineRule="auto"/>
        <w:ind w:left="0" w:leftChars="0" w:firstLine="560" w:firstLineChars="200"/>
        <w:jc w:val="center"/>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3149600" cy="23609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149600" cy="2360930"/>
                    </a:xfrm>
                    <a:prstGeom prst="rect">
                      <a:avLst/>
                    </a:prstGeom>
                    <a:noFill/>
                    <a:ln>
                      <a:noFill/>
                    </a:ln>
                  </pic:spPr>
                </pic:pic>
              </a:graphicData>
            </a:graphic>
          </wp:inline>
        </w:drawing>
      </w:r>
    </w:p>
    <w:p w14:paraId="65FBE9A0">
      <w:pPr>
        <w:spacing w:line="360" w:lineRule="auto"/>
        <w:ind w:left="0" w:leftChars="0" w:firstLine="560" w:firstLineChars="200"/>
        <w:jc w:val="cente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图1：教师企业工作站授牌</w:t>
      </w:r>
    </w:p>
    <w:p w14:paraId="01A79581">
      <w:pPr>
        <w:spacing w:line="360" w:lineRule="auto"/>
        <w:ind w:left="0" w:leftChars="0" w:firstLine="560" w:firstLineChars="200"/>
        <w:jc w:val="center"/>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3194050" cy="234950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3194050" cy="2349500"/>
                    </a:xfrm>
                    <a:prstGeom prst="rect">
                      <a:avLst/>
                    </a:prstGeom>
                    <a:noFill/>
                    <a:ln>
                      <a:noFill/>
                    </a:ln>
                  </pic:spPr>
                </pic:pic>
              </a:graphicData>
            </a:graphic>
          </wp:inline>
        </w:drawing>
      </w:r>
    </w:p>
    <w:p w14:paraId="67A77C09">
      <w:pPr>
        <w:spacing w:line="360" w:lineRule="auto"/>
        <w:ind w:left="0" w:leftChars="0" w:firstLine="560" w:firstLineChars="200"/>
        <w:jc w:val="center"/>
        <w:rPr>
          <w:rFonts w:hint="eastAsia" w:ascii="宋体" w:hAnsi="宋体" w:eastAsia="宋体" w:cs="宋体"/>
          <w:sz w:val="28"/>
          <w:szCs w:val="28"/>
        </w:rPr>
      </w:pPr>
      <w:r>
        <w:rPr>
          <w:rFonts w:hint="eastAsia" w:ascii="宋体" w:hAnsi="宋体" w:eastAsia="宋体" w:cs="宋体"/>
          <w:sz w:val="28"/>
          <w:szCs w:val="28"/>
          <w:lang w:val="en-US" w:eastAsia="zh-CN"/>
        </w:rPr>
        <w:t>图2：校外实训基地授牌</w:t>
      </w:r>
    </w:p>
    <w:p w14:paraId="4F61457E">
      <w:pPr>
        <w:spacing w:line="360" w:lineRule="auto"/>
        <w:ind w:left="0" w:leftChars="0" w:firstLine="560" w:firstLineChars="200"/>
        <w:jc w:val="left"/>
        <w:rPr>
          <w:rFonts w:hint="eastAsia" w:ascii="宋体" w:hAnsi="宋体" w:eastAsia="宋体" w:cs="宋体"/>
          <w:sz w:val="28"/>
          <w:szCs w:val="28"/>
        </w:rPr>
      </w:pPr>
      <w:r>
        <w:rPr>
          <w:rFonts w:hint="eastAsia" w:ascii="宋体" w:hAnsi="宋体" w:eastAsia="宋体" w:cs="宋体"/>
          <w:sz w:val="28"/>
          <w:szCs w:val="28"/>
        </w:rPr>
        <w:t>派遣企业导师定期开展校内讲座，介绍行业新动态、描绘行业新发展。企业人员还参与专业实训指导、教学工作、实训基地建设、教学模式改革等工作，积极融入到专业人才培养的全过程。</w:t>
      </w:r>
    </w:p>
    <w:p w14:paraId="4E2A5840">
      <w:pPr>
        <w:spacing w:line="500" w:lineRule="exact"/>
        <w:ind w:firstLine="560" w:firstLineChars="200"/>
        <w:jc w:val="left"/>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0288" behindDoc="0" locked="0" layoutInCell="1" allowOverlap="1">
            <wp:simplePos x="0" y="0"/>
            <wp:positionH relativeFrom="column">
              <wp:posOffset>2940050</wp:posOffset>
            </wp:positionH>
            <wp:positionV relativeFrom="paragraph">
              <wp:posOffset>1270</wp:posOffset>
            </wp:positionV>
            <wp:extent cx="2521585" cy="1805305"/>
            <wp:effectExtent l="0" t="0" r="5715" b="1079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2521585" cy="1805305"/>
                    </a:xfrm>
                    <a:prstGeom prst="rect">
                      <a:avLst/>
                    </a:prstGeom>
                    <a:noFill/>
                    <a:ln>
                      <a:noFill/>
                    </a:ln>
                  </pic:spPr>
                </pic:pic>
              </a:graphicData>
            </a:graphic>
          </wp:anchor>
        </w:drawing>
      </w:r>
      <w:r>
        <w:rPr>
          <w:rFonts w:hint="eastAsia" w:ascii="宋体" w:hAnsi="宋体" w:eastAsia="宋体" w:cs="宋体"/>
          <w:sz w:val="28"/>
          <w:szCs w:val="28"/>
        </w:rPr>
        <w:drawing>
          <wp:anchor distT="0" distB="0" distL="114300" distR="114300" simplePos="0" relativeHeight="251659264" behindDoc="0" locked="0" layoutInCell="1" allowOverlap="1">
            <wp:simplePos x="0" y="0"/>
            <wp:positionH relativeFrom="column">
              <wp:posOffset>393700</wp:posOffset>
            </wp:positionH>
            <wp:positionV relativeFrom="paragraph">
              <wp:posOffset>33020</wp:posOffset>
            </wp:positionV>
            <wp:extent cx="2543810" cy="1779905"/>
            <wp:effectExtent l="0" t="0" r="8890" b="10795"/>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2543810" cy="1779905"/>
                    </a:xfrm>
                    <a:prstGeom prst="rect">
                      <a:avLst/>
                    </a:prstGeom>
                    <a:noFill/>
                    <a:ln>
                      <a:noFill/>
                    </a:ln>
                  </pic:spPr>
                </pic:pic>
              </a:graphicData>
            </a:graphic>
          </wp:anchor>
        </w:drawing>
      </w:r>
    </w:p>
    <w:p w14:paraId="46660EB3">
      <w:pPr>
        <w:spacing w:line="500" w:lineRule="exact"/>
        <w:ind w:firstLine="560" w:firstLineChars="200"/>
        <w:jc w:val="left"/>
        <w:rPr>
          <w:rFonts w:hint="eastAsia" w:ascii="宋体" w:hAnsi="宋体" w:eastAsia="宋体" w:cs="宋体"/>
          <w:sz w:val="28"/>
          <w:szCs w:val="28"/>
        </w:rPr>
      </w:pPr>
    </w:p>
    <w:p w14:paraId="2DE4AE7F">
      <w:pPr>
        <w:spacing w:line="500" w:lineRule="exact"/>
        <w:ind w:firstLine="560" w:firstLineChars="200"/>
        <w:jc w:val="left"/>
        <w:rPr>
          <w:rFonts w:hint="eastAsia" w:ascii="宋体" w:hAnsi="宋体" w:eastAsia="宋体" w:cs="宋体"/>
          <w:sz w:val="28"/>
          <w:szCs w:val="28"/>
        </w:rPr>
      </w:pPr>
    </w:p>
    <w:p w14:paraId="2317E6FD">
      <w:pPr>
        <w:spacing w:line="500" w:lineRule="exact"/>
        <w:ind w:firstLine="560" w:firstLineChars="200"/>
        <w:jc w:val="left"/>
        <w:rPr>
          <w:rFonts w:hint="eastAsia" w:ascii="宋体" w:hAnsi="宋体" w:eastAsia="宋体" w:cs="宋体"/>
          <w:sz w:val="28"/>
          <w:szCs w:val="28"/>
        </w:rPr>
      </w:pPr>
    </w:p>
    <w:p w14:paraId="48012917">
      <w:pPr>
        <w:spacing w:line="500" w:lineRule="exact"/>
        <w:ind w:firstLine="560" w:firstLineChars="200"/>
        <w:jc w:val="left"/>
        <w:rPr>
          <w:rFonts w:hint="eastAsia" w:ascii="宋体" w:hAnsi="宋体" w:eastAsia="宋体" w:cs="宋体"/>
          <w:sz w:val="28"/>
          <w:szCs w:val="28"/>
        </w:rPr>
      </w:pPr>
    </w:p>
    <w:p w14:paraId="48734099">
      <w:pPr>
        <w:spacing w:line="500" w:lineRule="exact"/>
        <w:jc w:val="left"/>
        <w:rPr>
          <w:rFonts w:hint="eastAsia" w:ascii="宋体" w:hAnsi="宋体" w:eastAsia="宋体" w:cs="宋体"/>
          <w:b/>
          <w:bCs/>
          <w:sz w:val="28"/>
          <w:szCs w:val="28"/>
        </w:rPr>
      </w:pPr>
    </w:p>
    <w:p w14:paraId="40C39808">
      <w:pPr>
        <w:spacing w:line="360" w:lineRule="auto"/>
        <w:ind w:left="0" w:leftChars="0" w:firstLine="560" w:firstLineChars="200"/>
        <w:jc w:val="center"/>
        <w:outlineLvl w:val="0"/>
        <w:rPr>
          <w:rFonts w:hint="eastAsia" w:ascii="宋体" w:hAnsi="宋体" w:eastAsia="宋体" w:cs="宋体"/>
          <w:b/>
          <w:sz w:val="28"/>
          <w:szCs w:val="28"/>
        </w:rPr>
      </w:pPr>
      <w:bookmarkStart w:id="4" w:name="_Toc24321"/>
      <w:bookmarkStart w:id="5" w:name="_Toc15544"/>
      <w:r>
        <w:rPr>
          <w:rFonts w:hint="eastAsia" w:ascii="宋体" w:hAnsi="宋体" w:eastAsia="宋体" w:cs="宋体"/>
          <w:sz w:val="28"/>
          <w:szCs w:val="28"/>
          <w:lang w:val="en-US" w:eastAsia="zh-CN"/>
        </w:rPr>
        <w:t>图3：企业专家为师生开展专业讲座</w:t>
      </w:r>
      <w:bookmarkEnd w:id="4"/>
    </w:p>
    <w:p w14:paraId="4B4F330A">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CN"/>
        </w:rPr>
      </w:pPr>
      <w:bookmarkStart w:id="6" w:name="_Toc8977"/>
      <w:r>
        <w:rPr>
          <w:rFonts w:hint="eastAsia" w:ascii="黑体" w:hAnsi="黑体" w:eastAsia="黑体" w:cs="黑体"/>
          <w:b w:val="0"/>
          <w:bCs/>
          <w:sz w:val="28"/>
          <w:szCs w:val="28"/>
          <w:lang w:val="en-US" w:eastAsia="zh-CN"/>
        </w:rPr>
        <w:t>四、参与教学</w:t>
      </w:r>
      <w:bookmarkEnd w:id="5"/>
      <w:bookmarkEnd w:id="6"/>
    </w:p>
    <w:p w14:paraId="205913A5">
      <w:pPr>
        <w:spacing w:line="500" w:lineRule="exact"/>
        <w:ind w:left="0" w:leftChars="0" w:firstLine="562" w:firstLineChars="200"/>
        <w:outlineLvl w:val="1"/>
        <w:rPr>
          <w:rFonts w:hint="eastAsia" w:ascii="宋体" w:hAnsi="宋体" w:eastAsia="宋体" w:cs="宋体"/>
          <w:b/>
          <w:bCs/>
          <w:sz w:val="28"/>
          <w:szCs w:val="28"/>
          <w:shd w:val="clear" w:color="auto" w:fill="FFFFFF"/>
          <w:lang w:val="en-US" w:eastAsia="zh-CN"/>
        </w:rPr>
      </w:pPr>
      <w:r>
        <w:rPr>
          <w:rFonts w:hint="eastAsia" w:ascii="宋体" w:hAnsi="宋体" w:eastAsia="宋体" w:cs="宋体"/>
          <w:b/>
          <w:bCs/>
          <w:sz w:val="28"/>
          <w:szCs w:val="28"/>
          <w:shd w:val="clear" w:color="auto" w:fill="FFFFFF"/>
          <w:lang w:val="en-US" w:eastAsia="zh-CN"/>
        </w:rPr>
        <w:t>1.企业</w:t>
      </w:r>
      <w:r>
        <w:rPr>
          <w:rFonts w:hint="eastAsia" w:ascii="宋体" w:hAnsi="宋体" w:eastAsia="宋体" w:cs="宋体"/>
          <w:b/>
          <w:bCs/>
          <w:sz w:val="28"/>
          <w:szCs w:val="28"/>
          <w:shd w:val="clear" w:color="auto" w:fill="FFFFFF"/>
          <w:lang w:val="en-US" w:eastAsia="zh-Hans"/>
        </w:rPr>
        <w:t>人员参与学校人才培养方案制订</w:t>
      </w:r>
    </w:p>
    <w:p w14:paraId="5D04ECCB">
      <w:pPr>
        <w:spacing w:line="500" w:lineRule="exact"/>
        <w:ind w:left="0" w:leftChars="0" w:firstLine="560" w:firstLineChars="200"/>
        <w:rPr>
          <w:rFonts w:hint="eastAsia" w:ascii="宋体" w:hAnsi="宋体" w:eastAsia="宋体" w:cs="宋体"/>
          <w:sz w:val="28"/>
          <w:szCs w:val="28"/>
          <w:shd w:val="clear" w:color="auto" w:fill="FFFFFF"/>
          <w:lang w:val="en-US" w:eastAsia="zh-CN"/>
        </w:rPr>
      </w:pPr>
      <w:r>
        <w:rPr>
          <w:rFonts w:hint="eastAsia" w:ascii="宋体" w:hAnsi="宋体" w:eastAsia="宋体" w:cs="宋体"/>
          <w:sz w:val="28"/>
          <w:szCs w:val="28"/>
          <w:shd w:val="clear" w:color="auto" w:fill="FFFFFF"/>
          <w:lang w:val="en-US" w:eastAsia="zh-CN"/>
        </w:rPr>
        <w:t>学校每年选派优秀青年教师赴企业进行实践，掌握企业生产一线的生产管理情况，同时安排骨干教师为企业开展技术指导与服务。澳鹏科技（无锡）有限公司选派业务精良的工程技术人员作为校方兼职教师，并不定期开展现场教学和专题讲座，普及专业新技术、介绍专业新动态、描绘专业新发展。学校与企业共同研究制定人才培养计划，确定相应的教学内容和合作形式。</w:t>
      </w:r>
    </w:p>
    <w:p w14:paraId="74756D46">
      <w:pPr>
        <w:spacing w:line="500" w:lineRule="exact"/>
        <w:ind w:left="0" w:leftChars="0" w:firstLine="560" w:firstLineChars="200"/>
        <w:rPr>
          <w:rFonts w:hint="eastAsia" w:ascii="宋体" w:hAnsi="宋体" w:eastAsia="宋体" w:cs="宋体"/>
          <w:sz w:val="28"/>
          <w:szCs w:val="28"/>
          <w:shd w:val="clear" w:color="auto" w:fill="FFFFFF"/>
          <w:lang w:val="en-US" w:eastAsia="zh-CN"/>
        </w:rPr>
      </w:pPr>
      <w:r>
        <w:rPr>
          <w:rFonts w:hint="eastAsia" w:ascii="宋体" w:hAnsi="宋体" w:eastAsia="宋体" w:cs="宋体"/>
          <w:sz w:val="28"/>
          <w:szCs w:val="28"/>
        </w:rPr>
        <w:drawing>
          <wp:anchor distT="0" distB="0" distL="114300" distR="114300" simplePos="0" relativeHeight="251663360" behindDoc="0" locked="0" layoutInCell="1" allowOverlap="1">
            <wp:simplePos x="0" y="0"/>
            <wp:positionH relativeFrom="column">
              <wp:posOffset>69850</wp:posOffset>
            </wp:positionH>
            <wp:positionV relativeFrom="paragraph">
              <wp:posOffset>69850</wp:posOffset>
            </wp:positionV>
            <wp:extent cx="5273675" cy="2608580"/>
            <wp:effectExtent l="0" t="0" r="9525" b="7620"/>
            <wp:wrapNone/>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pic:cNvPicPr>
                      <a:picLocks noChangeAspect="1"/>
                    </pic:cNvPicPr>
                  </pic:nvPicPr>
                  <pic:blipFill>
                    <a:blip r:embed="rId10"/>
                    <a:stretch>
                      <a:fillRect/>
                    </a:stretch>
                  </pic:blipFill>
                  <pic:spPr>
                    <a:xfrm>
                      <a:off x="0" y="0"/>
                      <a:ext cx="5273675" cy="2608580"/>
                    </a:xfrm>
                    <a:prstGeom prst="rect">
                      <a:avLst/>
                    </a:prstGeom>
                    <a:noFill/>
                    <a:ln>
                      <a:noFill/>
                    </a:ln>
                  </pic:spPr>
                </pic:pic>
              </a:graphicData>
            </a:graphic>
          </wp:anchor>
        </w:drawing>
      </w:r>
    </w:p>
    <w:p w14:paraId="6E017169">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30FB62E9">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3405AA95">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1B4A1FDB">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211AD175">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3D028E26">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0E28B39A">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5350DFE0">
      <w:pPr>
        <w:spacing w:line="500" w:lineRule="exact"/>
        <w:ind w:left="0" w:leftChars="0" w:firstLine="560" w:firstLineChars="200"/>
        <w:rPr>
          <w:rFonts w:hint="eastAsia" w:ascii="宋体" w:hAnsi="宋体" w:eastAsia="宋体" w:cs="宋体"/>
          <w:sz w:val="28"/>
          <w:szCs w:val="28"/>
          <w:shd w:val="clear" w:color="auto" w:fill="FFFFFF"/>
          <w:lang w:val="en-US" w:eastAsia="zh-CN"/>
        </w:rPr>
      </w:pPr>
    </w:p>
    <w:p w14:paraId="1F58B878">
      <w:pPr>
        <w:spacing w:line="360" w:lineRule="auto"/>
        <w:ind w:left="0" w:leftChars="0" w:firstLine="560" w:firstLineChars="200"/>
        <w:jc w:val="center"/>
        <w:outlineLvl w:val="0"/>
        <w:rPr>
          <w:rFonts w:hint="eastAsia" w:ascii="宋体" w:hAnsi="宋体" w:eastAsia="宋体" w:cs="宋体"/>
          <w:sz w:val="28"/>
          <w:szCs w:val="28"/>
          <w:shd w:val="clear" w:color="auto" w:fill="FFFFFF"/>
          <w:lang w:val="en-US" w:eastAsia="zh-CN"/>
        </w:rPr>
      </w:pPr>
      <w:bookmarkStart w:id="7" w:name="_Toc19077"/>
      <w:r>
        <w:rPr>
          <w:rFonts w:hint="eastAsia" w:ascii="宋体" w:hAnsi="宋体" w:eastAsia="宋体" w:cs="宋体"/>
          <w:sz w:val="28"/>
          <w:szCs w:val="28"/>
          <w:lang w:val="en-US" w:eastAsia="zh-CN"/>
        </w:rPr>
        <w:t>图4：企业专家参与人才培养方案制定</w:t>
      </w:r>
      <w:bookmarkEnd w:id="7"/>
    </w:p>
    <w:p w14:paraId="06EE1777">
      <w:pPr>
        <w:spacing w:line="500" w:lineRule="exact"/>
        <w:ind w:left="0" w:leftChars="0" w:firstLine="562" w:firstLineChars="200"/>
        <w:outlineLvl w:val="1"/>
        <w:rPr>
          <w:rFonts w:hint="eastAsia" w:ascii="宋体" w:hAnsi="宋体" w:eastAsia="宋体" w:cs="宋体"/>
          <w:b/>
          <w:bCs/>
          <w:sz w:val="28"/>
          <w:szCs w:val="28"/>
          <w:shd w:val="clear" w:color="auto" w:fill="FFFFFF"/>
          <w:lang w:val="en-US" w:eastAsia="zh-CN"/>
        </w:rPr>
      </w:pPr>
      <w:bookmarkStart w:id="8" w:name="_Toc14065"/>
      <w:r>
        <w:rPr>
          <w:rFonts w:hint="eastAsia" w:ascii="宋体" w:hAnsi="宋体" w:eastAsia="宋体" w:cs="宋体"/>
          <w:b/>
          <w:bCs/>
          <w:sz w:val="28"/>
          <w:szCs w:val="28"/>
          <w:shd w:val="clear" w:color="auto" w:fill="FFFFFF"/>
          <w:lang w:val="en-US" w:eastAsia="zh-CN"/>
        </w:rPr>
        <w:t>2.学生培养</w:t>
      </w:r>
      <w:bookmarkEnd w:id="8"/>
    </w:p>
    <w:p w14:paraId="1C9C2312">
      <w:pPr>
        <w:spacing w:line="500" w:lineRule="exact"/>
        <w:ind w:left="0" w:leftChars="0" w:firstLine="560" w:firstLineChars="200"/>
        <w:rPr>
          <w:rFonts w:hint="eastAsia" w:ascii="宋体" w:hAnsi="宋体" w:eastAsia="宋体" w:cs="宋体"/>
          <w:sz w:val="28"/>
          <w:szCs w:val="28"/>
        </w:rPr>
      </w:pPr>
      <w:r>
        <w:rPr>
          <w:rFonts w:hint="eastAsia" w:ascii="宋体" w:hAnsi="宋体" w:eastAsia="宋体" w:cs="宋体"/>
          <w:sz w:val="28"/>
          <w:szCs w:val="28"/>
          <w:shd w:val="clear" w:color="auto" w:fill="FFFFFF"/>
        </w:rPr>
        <w:t>学校与</w:t>
      </w:r>
      <w:r>
        <w:rPr>
          <w:rFonts w:hint="eastAsia" w:ascii="宋体" w:hAnsi="宋体" w:eastAsia="宋体" w:cs="宋体"/>
          <w:sz w:val="28"/>
          <w:szCs w:val="28"/>
          <w:shd w:val="clear" w:color="auto" w:fill="FFFFFF"/>
          <w:lang w:val="en-US" w:eastAsia="zh-CN"/>
        </w:rPr>
        <w:t>澳鹏科技（无锡）</w:t>
      </w:r>
      <w:r>
        <w:rPr>
          <w:rFonts w:hint="eastAsia" w:ascii="宋体" w:hAnsi="宋体" w:eastAsia="宋体" w:cs="宋体"/>
          <w:sz w:val="28"/>
          <w:szCs w:val="28"/>
        </w:rPr>
        <w:t>有限公司</w:t>
      </w:r>
      <w:r>
        <w:rPr>
          <w:rFonts w:hint="eastAsia" w:ascii="宋体" w:hAnsi="宋体" w:eastAsia="宋体" w:cs="宋体"/>
          <w:sz w:val="28"/>
          <w:szCs w:val="28"/>
          <w:shd w:val="clear" w:color="auto" w:fill="FFFFFF"/>
        </w:rPr>
        <w:t>广泛开展合作，共同探讨人才培养模式的改革和创新，关注行业发展，结合专业特色，校企共同确定培养目标，对学生的知识、技能、素质等作明确要求，</w:t>
      </w:r>
      <w:r>
        <w:rPr>
          <w:rFonts w:hint="eastAsia" w:ascii="宋体" w:hAnsi="宋体" w:eastAsia="宋体" w:cs="宋体"/>
          <w:sz w:val="28"/>
          <w:szCs w:val="28"/>
        </w:rPr>
        <w:t>学生赴企业专业实践和</w:t>
      </w:r>
      <w:r>
        <w:rPr>
          <w:rFonts w:hint="eastAsia" w:ascii="宋体" w:hAnsi="宋体" w:eastAsia="宋体" w:cs="宋体"/>
          <w:sz w:val="28"/>
          <w:szCs w:val="28"/>
          <w:lang w:val="en-US" w:eastAsia="zh-CN"/>
        </w:rPr>
        <w:t>岗位</w:t>
      </w:r>
      <w:r>
        <w:rPr>
          <w:rFonts w:hint="eastAsia" w:ascii="宋体" w:hAnsi="宋体" w:eastAsia="宋体" w:cs="宋体"/>
          <w:sz w:val="28"/>
          <w:szCs w:val="28"/>
        </w:rPr>
        <w:t>实习</w:t>
      </w:r>
      <w:r>
        <w:rPr>
          <w:rFonts w:hint="eastAsia" w:ascii="宋体" w:hAnsi="宋体" w:eastAsia="宋体" w:cs="宋体"/>
          <w:sz w:val="28"/>
          <w:szCs w:val="28"/>
          <w:lang w:eastAsia="zh-CN"/>
        </w:rPr>
        <w:t>，</w:t>
      </w:r>
      <w:r>
        <w:rPr>
          <w:rFonts w:hint="eastAsia" w:ascii="宋体" w:hAnsi="宋体" w:eastAsia="宋体" w:cs="宋体"/>
          <w:sz w:val="28"/>
          <w:szCs w:val="28"/>
          <w:shd w:val="clear" w:color="auto" w:fill="FFFFFF"/>
        </w:rPr>
        <w:t>使培养目标定位准确，形成体系和标准。</w:t>
      </w:r>
      <w:r>
        <w:rPr>
          <w:rFonts w:hint="eastAsia" w:ascii="宋体" w:hAnsi="宋体" w:eastAsia="宋体" w:cs="宋体"/>
          <w:sz w:val="28"/>
          <w:szCs w:val="28"/>
        </w:rPr>
        <w:t>整个实习实训过程由</w:t>
      </w:r>
      <w:r>
        <w:rPr>
          <w:rFonts w:hint="eastAsia" w:ascii="宋体" w:hAnsi="宋体" w:eastAsia="宋体" w:cs="宋体"/>
          <w:sz w:val="28"/>
          <w:szCs w:val="28"/>
          <w:lang w:val="en-US" w:eastAsia="zh-CN"/>
        </w:rPr>
        <w:t>学院和</w:t>
      </w:r>
      <w:r>
        <w:rPr>
          <w:rFonts w:hint="eastAsia" w:ascii="宋体" w:hAnsi="宋体" w:eastAsia="宋体" w:cs="宋体"/>
          <w:sz w:val="28"/>
          <w:szCs w:val="28"/>
        </w:rPr>
        <w:t>企业制订实习大纲、实习计划，共同制订实习管理制度，企业安排指导老师。在实习过程中，学院领导、辅导员</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实习指导老师</w:t>
      </w:r>
      <w:r>
        <w:rPr>
          <w:rFonts w:hint="eastAsia" w:ascii="宋体" w:hAnsi="宋体" w:eastAsia="宋体" w:cs="宋体"/>
          <w:sz w:val="28"/>
          <w:szCs w:val="28"/>
        </w:rPr>
        <w:t>和学生定期联系，企业指导老师和学校教师共同参与学生毕业论文指导。实习结束，学生自我总结，企业给予考核鉴定，学生完成毕业</w:t>
      </w:r>
      <w:r>
        <w:rPr>
          <w:rFonts w:hint="eastAsia" w:ascii="宋体" w:hAnsi="宋体" w:eastAsia="宋体" w:cs="宋体"/>
          <w:sz w:val="28"/>
          <w:szCs w:val="28"/>
          <w:lang w:val="en-US" w:eastAsia="zh-CN"/>
        </w:rPr>
        <w:t>设计（</w:t>
      </w:r>
      <w:r>
        <w:rPr>
          <w:rFonts w:hint="eastAsia" w:ascii="宋体" w:hAnsi="宋体" w:eastAsia="宋体" w:cs="宋体"/>
          <w:sz w:val="28"/>
          <w:szCs w:val="28"/>
        </w:rPr>
        <w:t>论文</w:t>
      </w:r>
      <w:r>
        <w:rPr>
          <w:rFonts w:hint="eastAsia" w:ascii="宋体" w:hAnsi="宋体" w:eastAsia="宋体" w:cs="宋体"/>
          <w:sz w:val="28"/>
          <w:szCs w:val="28"/>
          <w:lang w:eastAsia="zh-CN"/>
        </w:rPr>
        <w:t>）</w:t>
      </w:r>
      <w:r>
        <w:rPr>
          <w:rFonts w:hint="eastAsia" w:ascii="宋体" w:hAnsi="宋体" w:eastAsia="宋体" w:cs="宋体"/>
          <w:sz w:val="28"/>
          <w:szCs w:val="28"/>
        </w:rPr>
        <w:t>撰写和答辩，学院综合考虑各个方面的成绩，给出最后的实习评定。</w:t>
      </w:r>
    </w:p>
    <w:p w14:paraId="42CFFA31">
      <w:pPr>
        <w:spacing w:line="500" w:lineRule="exact"/>
        <w:ind w:left="0" w:leftChars="0" w:firstLine="560" w:firstLineChars="200"/>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5408" behindDoc="0" locked="0" layoutInCell="1" allowOverlap="1">
            <wp:simplePos x="0" y="0"/>
            <wp:positionH relativeFrom="column">
              <wp:posOffset>2814320</wp:posOffset>
            </wp:positionH>
            <wp:positionV relativeFrom="paragraph">
              <wp:posOffset>203835</wp:posOffset>
            </wp:positionV>
            <wp:extent cx="2400935" cy="2787015"/>
            <wp:effectExtent l="0" t="0" r="12065" b="6985"/>
            <wp:wrapNone/>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11"/>
                    <a:stretch>
                      <a:fillRect/>
                    </a:stretch>
                  </pic:blipFill>
                  <pic:spPr>
                    <a:xfrm>
                      <a:off x="0" y="0"/>
                      <a:ext cx="2400935" cy="2787015"/>
                    </a:xfrm>
                    <a:prstGeom prst="rect">
                      <a:avLst/>
                    </a:prstGeom>
                    <a:noFill/>
                    <a:ln>
                      <a:noFill/>
                    </a:ln>
                  </pic:spPr>
                </pic:pic>
              </a:graphicData>
            </a:graphic>
          </wp:anchor>
        </w:drawing>
      </w:r>
      <w:r>
        <w:rPr>
          <w:rFonts w:hint="eastAsia" w:ascii="宋体" w:hAnsi="宋体" w:eastAsia="宋体" w:cs="宋体"/>
          <w:sz w:val="28"/>
          <w:szCs w:val="28"/>
        </w:rPr>
        <w:drawing>
          <wp:anchor distT="0" distB="0" distL="114300" distR="114300" simplePos="0" relativeHeight="251664384" behindDoc="0" locked="0" layoutInCell="1" allowOverlap="1">
            <wp:simplePos x="0" y="0"/>
            <wp:positionH relativeFrom="column">
              <wp:posOffset>18415</wp:posOffset>
            </wp:positionH>
            <wp:positionV relativeFrom="paragraph">
              <wp:posOffset>114300</wp:posOffset>
            </wp:positionV>
            <wp:extent cx="2629535" cy="3022600"/>
            <wp:effectExtent l="0" t="0" r="12065" b="0"/>
            <wp:wrapNone/>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pic:cNvPicPr>
                  </pic:nvPicPr>
                  <pic:blipFill>
                    <a:blip r:embed="rId12"/>
                    <a:stretch>
                      <a:fillRect/>
                    </a:stretch>
                  </pic:blipFill>
                  <pic:spPr>
                    <a:xfrm>
                      <a:off x="0" y="0"/>
                      <a:ext cx="2629535" cy="3022600"/>
                    </a:xfrm>
                    <a:prstGeom prst="rect">
                      <a:avLst/>
                    </a:prstGeom>
                    <a:noFill/>
                    <a:ln>
                      <a:noFill/>
                    </a:ln>
                  </pic:spPr>
                </pic:pic>
              </a:graphicData>
            </a:graphic>
          </wp:anchor>
        </w:drawing>
      </w:r>
    </w:p>
    <w:p w14:paraId="2CAB44A9">
      <w:pPr>
        <w:spacing w:line="500" w:lineRule="exact"/>
        <w:ind w:left="0" w:leftChars="0" w:firstLine="560" w:firstLineChars="200"/>
        <w:rPr>
          <w:rFonts w:hint="eastAsia" w:ascii="宋体" w:hAnsi="宋体" w:eastAsia="宋体" w:cs="宋体"/>
          <w:sz w:val="28"/>
          <w:szCs w:val="28"/>
        </w:rPr>
      </w:pPr>
    </w:p>
    <w:p w14:paraId="1702DBC6">
      <w:pPr>
        <w:spacing w:line="500" w:lineRule="exact"/>
        <w:ind w:left="0" w:leftChars="0" w:firstLine="560" w:firstLineChars="200"/>
        <w:rPr>
          <w:rFonts w:hint="eastAsia" w:ascii="宋体" w:hAnsi="宋体" w:eastAsia="宋体" w:cs="宋体"/>
          <w:sz w:val="28"/>
          <w:szCs w:val="28"/>
        </w:rPr>
      </w:pPr>
    </w:p>
    <w:p w14:paraId="506B0BFA">
      <w:pPr>
        <w:spacing w:line="500" w:lineRule="exact"/>
        <w:ind w:left="0" w:leftChars="0" w:firstLine="560" w:firstLineChars="20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3670300" cy="4260850"/>
            <wp:effectExtent l="0" t="0" r="0" b="6350"/>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11"/>
                    <a:stretch>
                      <a:fillRect/>
                    </a:stretch>
                  </pic:blipFill>
                  <pic:spPr>
                    <a:xfrm>
                      <a:off x="0" y="0"/>
                      <a:ext cx="3670300" cy="4260850"/>
                    </a:xfrm>
                    <a:prstGeom prst="rect">
                      <a:avLst/>
                    </a:prstGeom>
                    <a:noFill/>
                    <a:ln>
                      <a:noFill/>
                    </a:ln>
                  </pic:spPr>
                </pic:pic>
              </a:graphicData>
            </a:graphic>
          </wp:inline>
        </w:drawing>
      </w:r>
    </w:p>
    <w:p w14:paraId="5FD5A271">
      <w:pPr>
        <w:spacing w:line="500" w:lineRule="exact"/>
        <w:ind w:left="0" w:leftChars="0" w:firstLine="560" w:firstLineChars="200"/>
        <w:rPr>
          <w:rFonts w:hint="eastAsia" w:ascii="宋体" w:hAnsi="宋体" w:eastAsia="宋体" w:cs="宋体"/>
          <w:sz w:val="28"/>
          <w:szCs w:val="28"/>
        </w:rPr>
      </w:pPr>
    </w:p>
    <w:p w14:paraId="67EED223">
      <w:pPr>
        <w:spacing w:line="500" w:lineRule="exact"/>
        <w:ind w:left="0" w:leftChars="0" w:firstLine="560" w:firstLineChars="200"/>
        <w:rPr>
          <w:rFonts w:hint="eastAsia" w:ascii="宋体" w:hAnsi="宋体" w:eastAsia="宋体" w:cs="宋体"/>
          <w:sz w:val="28"/>
          <w:szCs w:val="28"/>
        </w:rPr>
      </w:pPr>
    </w:p>
    <w:p w14:paraId="195B47EA">
      <w:pPr>
        <w:spacing w:line="500" w:lineRule="exact"/>
        <w:ind w:left="0" w:leftChars="0" w:firstLine="560" w:firstLineChars="200"/>
        <w:jc w:val="center"/>
        <w:rPr>
          <w:rFonts w:hint="eastAsia" w:ascii="宋体" w:hAnsi="宋体" w:eastAsia="宋体" w:cs="宋体"/>
          <w:sz w:val="28"/>
          <w:szCs w:val="28"/>
          <w:lang w:val="en-US" w:eastAsia="zh-CN"/>
        </w:rPr>
      </w:pPr>
    </w:p>
    <w:p w14:paraId="2B90B013">
      <w:pPr>
        <w:spacing w:line="500" w:lineRule="exact"/>
        <w:ind w:left="0" w:leftChars="0" w:firstLine="560" w:firstLineChars="200"/>
        <w:jc w:val="center"/>
        <w:rPr>
          <w:rFonts w:hint="eastAsia" w:ascii="宋体" w:hAnsi="宋体" w:eastAsia="宋体" w:cs="宋体"/>
          <w:sz w:val="28"/>
          <w:szCs w:val="28"/>
          <w:lang w:val="en-US" w:eastAsia="zh-CN"/>
        </w:rPr>
      </w:pPr>
    </w:p>
    <w:p w14:paraId="56C73177">
      <w:pPr>
        <w:spacing w:line="500" w:lineRule="exact"/>
        <w:ind w:left="0" w:leftChars="0" w:firstLine="560" w:firstLineChars="200"/>
        <w:jc w:val="center"/>
        <w:rPr>
          <w:rFonts w:hint="eastAsia" w:ascii="宋体" w:hAnsi="宋体" w:eastAsia="宋体" w:cs="宋体"/>
          <w:sz w:val="28"/>
          <w:szCs w:val="28"/>
          <w:lang w:val="en-US" w:eastAsia="zh-CN"/>
        </w:rPr>
      </w:pPr>
    </w:p>
    <w:p w14:paraId="01B79F83">
      <w:pPr>
        <w:spacing w:line="500" w:lineRule="exact"/>
        <w:ind w:left="0" w:leftChars="0" w:firstLine="560" w:firstLineChars="200"/>
        <w:jc w:val="center"/>
        <w:rPr>
          <w:rFonts w:hint="eastAsia" w:ascii="宋体" w:hAnsi="宋体" w:eastAsia="宋体" w:cs="宋体"/>
          <w:sz w:val="28"/>
          <w:szCs w:val="28"/>
          <w:lang w:val="en-US" w:eastAsia="zh-CN"/>
        </w:rPr>
      </w:pPr>
    </w:p>
    <w:p w14:paraId="08748203">
      <w:pPr>
        <w:spacing w:line="500" w:lineRule="exact"/>
        <w:ind w:left="0" w:leftChars="0" w:firstLine="560" w:firstLineChars="200"/>
        <w:jc w:val="center"/>
        <w:rPr>
          <w:rFonts w:hint="eastAsia" w:ascii="宋体" w:hAnsi="宋体" w:eastAsia="宋体" w:cs="宋体"/>
          <w:sz w:val="28"/>
          <w:szCs w:val="28"/>
          <w:lang w:val="en-US"/>
        </w:rPr>
      </w:pPr>
      <w:r>
        <w:rPr>
          <w:rFonts w:hint="eastAsia" w:ascii="宋体" w:hAnsi="宋体" w:eastAsia="宋体" w:cs="宋体"/>
          <w:sz w:val="28"/>
          <w:szCs w:val="28"/>
          <w:lang w:val="en-US" w:eastAsia="zh-CN"/>
        </w:rPr>
        <w:t>图5：校企合作协议部分截图</w:t>
      </w:r>
    </w:p>
    <w:p w14:paraId="6F8141F4">
      <w:pPr>
        <w:spacing w:line="360" w:lineRule="auto"/>
        <w:ind w:left="0" w:leftChars="0" w:firstLine="562" w:firstLineChars="200"/>
        <w:jc w:val="left"/>
        <w:outlineLvl w:val="1"/>
        <w:rPr>
          <w:rFonts w:hint="eastAsia" w:ascii="宋体" w:hAnsi="宋体" w:eastAsia="宋体" w:cs="宋体"/>
          <w:b/>
          <w:bCs/>
          <w:sz w:val="28"/>
          <w:szCs w:val="28"/>
          <w:shd w:val="clear" w:color="auto" w:fill="FFFFFF"/>
        </w:rPr>
      </w:pPr>
      <w:bookmarkStart w:id="9" w:name="_Toc2694"/>
      <w:r>
        <w:rPr>
          <w:rFonts w:hint="eastAsia" w:ascii="宋体" w:hAnsi="宋体" w:eastAsia="宋体" w:cs="宋体"/>
          <w:b/>
          <w:bCs/>
          <w:sz w:val="28"/>
          <w:szCs w:val="28"/>
          <w:shd w:val="clear" w:color="auto" w:fill="FFFFFF"/>
          <w:lang w:val="en-US" w:eastAsia="zh-CN"/>
        </w:rPr>
        <w:t>3.</w:t>
      </w:r>
      <w:r>
        <w:rPr>
          <w:rFonts w:hint="eastAsia" w:ascii="宋体" w:hAnsi="宋体" w:eastAsia="宋体" w:cs="宋体"/>
          <w:b/>
          <w:bCs/>
          <w:sz w:val="28"/>
          <w:szCs w:val="28"/>
          <w:shd w:val="clear" w:color="auto" w:fill="FFFFFF"/>
        </w:rPr>
        <w:t>师资队伍建设</w:t>
      </w:r>
      <w:bookmarkEnd w:id="9"/>
    </w:p>
    <w:p w14:paraId="4CCC14F7">
      <w:pPr>
        <w:widowControl/>
        <w:spacing w:line="500" w:lineRule="exact"/>
        <w:ind w:firstLine="557" w:firstLineChars="199"/>
        <w:rPr>
          <w:rFonts w:hint="eastAsia" w:ascii="宋体" w:hAnsi="宋体" w:eastAsia="宋体" w:cs="宋体"/>
          <w:sz w:val="28"/>
          <w:szCs w:val="28"/>
        </w:rPr>
      </w:pPr>
      <w:r>
        <w:rPr>
          <w:rFonts w:hint="eastAsia" w:ascii="宋体" w:hAnsi="宋体" w:eastAsia="宋体" w:cs="宋体"/>
          <w:sz w:val="28"/>
          <w:szCs w:val="28"/>
          <w:lang w:val="en-US" w:eastAsia="zh-CN"/>
        </w:rPr>
        <w:t>学院</w:t>
      </w:r>
      <w:r>
        <w:rPr>
          <w:rFonts w:hint="eastAsia" w:ascii="宋体" w:hAnsi="宋体" w:eastAsia="宋体" w:cs="宋体"/>
          <w:sz w:val="28"/>
          <w:szCs w:val="28"/>
        </w:rPr>
        <w:t>教师进行企业实践锻炼，为切实夯实专业教师的理论基础知识，提高实 际操作能力，以及理论与实践相结合的能力，从而使教师了解企业单位对人才需 求的要求，明确专业技能培训的方向，更好的适应职业学校技能培训和实习指导 工作，更好的服务于社会。</w:t>
      </w:r>
    </w:p>
    <w:p w14:paraId="7B2B3283">
      <w:pPr>
        <w:widowControl/>
        <w:spacing w:line="500" w:lineRule="exact"/>
        <w:ind w:firstLine="557" w:firstLineChars="199"/>
        <w:rPr>
          <w:rFonts w:hint="eastAsia" w:ascii="宋体" w:hAnsi="宋体" w:eastAsia="宋体" w:cs="宋体"/>
          <w:sz w:val="28"/>
          <w:szCs w:val="28"/>
        </w:rPr>
      </w:pPr>
      <w:r>
        <w:rPr>
          <w:rFonts w:hint="eastAsia" w:ascii="宋体" w:hAnsi="宋体" w:eastAsia="宋体" w:cs="宋体"/>
          <w:kern w:val="2"/>
          <w:sz w:val="28"/>
          <w:szCs w:val="28"/>
          <w:lang w:val="en-US" w:eastAsia="zh-CN" w:bidi="ar-SA"/>
        </w:rPr>
        <w:t>（1）</w:t>
      </w:r>
      <w:r>
        <w:rPr>
          <w:rFonts w:hint="eastAsia" w:ascii="宋体" w:hAnsi="宋体" w:eastAsia="宋体" w:cs="宋体"/>
          <w:sz w:val="28"/>
          <w:szCs w:val="28"/>
        </w:rPr>
        <w:t xml:space="preserve">了解企业生产情况、工艺流程、组织方式，熟悉相关岗位（工种）职责，质量监控，管理制度以及企业发展前景，提高实践动手能力，掌握本专业岗 位新知识、新技能、新工艺、新方法、新规范、关键技术 </w:t>
      </w:r>
    </w:p>
    <w:p w14:paraId="42576E38">
      <w:pPr>
        <w:widowControl/>
        <w:numPr>
          <w:ilvl w:val="0"/>
          <w:numId w:val="0"/>
        </w:numPr>
        <w:spacing w:line="500" w:lineRule="exact"/>
        <w:ind w:firstLine="560" w:firstLineChars="200"/>
        <w:rPr>
          <w:rFonts w:hint="eastAsia" w:ascii="宋体" w:hAnsi="宋体" w:eastAsia="宋体" w:cs="宋体"/>
          <w:sz w:val="28"/>
          <w:szCs w:val="28"/>
          <w:shd w:val="clear" w:color="auto" w:fill="FFFFFF"/>
        </w:rPr>
      </w:pPr>
      <w:r>
        <w:rPr>
          <w:rFonts w:hint="eastAsia" w:ascii="宋体" w:hAnsi="宋体" w:eastAsia="宋体" w:cs="宋体"/>
          <w:sz w:val="28"/>
          <w:szCs w:val="28"/>
        </w:rPr>
        <w:t>（2）研究企业人才需求，推进教学改革，完善教学内容，改进教学方法，积极研究专业标准，提高专业技能；</w:t>
      </w:r>
    </w:p>
    <w:p w14:paraId="0E05FE5B">
      <w:pPr>
        <w:widowControl/>
        <w:spacing w:line="500" w:lineRule="exact"/>
        <w:ind w:firstLine="557" w:firstLineChars="199"/>
        <w:rPr>
          <w:rFonts w:hint="eastAsia" w:ascii="宋体" w:hAnsi="宋体" w:eastAsia="宋体" w:cs="宋体"/>
          <w:sz w:val="28"/>
          <w:szCs w:val="28"/>
        </w:rPr>
      </w:pPr>
      <w:r>
        <w:rPr>
          <w:rFonts w:hint="eastAsia" w:ascii="宋体" w:hAnsi="宋体" w:eastAsia="宋体" w:cs="宋体"/>
          <w:sz w:val="28"/>
          <w:szCs w:val="28"/>
        </w:rPr>
        <w:t>（3）对在企业进行</w:t>
      </w:r>
      <w:r>
        <w:rPr>
          <w:rFonts w:hint="eastAsia" w:ascii="宋体" w:hAnsi="宋体" w:eastAsia="宋体" w:cs="宋体"/>
          <w:sz w:val="28"/>
          <w:szCs w:val="28"/>
          <w:lang w:val="en-US" w:eastAsia="zh-CN"/>
        </w:rPr>
        <w:t>实习、</w:t>
      </w:r>
      <w:r>
        <w:rPr>
          <w:rFonts w:hint="eastAsia" w:ascii="宋体" w:hAnsi="宋体" w:eastAsia="宋体" w:cs="宋体"/>
          <w:sz w:val="28"/>
          <w:szCs w:val="28"/>
        </w:rPr>
        <w:t>工作的</w:t>
      </w:r>
      <w:r>
        <w:rPr>
          <w:rFonts w:hint="eastAsia" w:ascii="宋体" w:hAnsi="宋体" w:eastAsia="宋体" w:cs="宋体"/>
          <w:sz w:val="28"/>
          <w:szCs w:val="28"/>
          <w:lang w:val="en-US" w:eastAsia="zh-CN"/>
        </w:rPr>
        <w:t>学生</w:t>
      </w:r>
      <w:r>
        <w:rPr>
          <w:rFonts w:hint="eastAsia" w:ascii="宋体" w:hAnsi="宋体" w:eastAsia="宋体" w:cs="宋体"/>
          <w:sz w:val="28"/>
          <w:szCs w:val="28"/>
        </w:rPr>
        <w:t>进行</w:t>
      </w:r>
      <w:r>
        <w:rPr>
          <w:rFonts w:hint="eastAsia" w:ascii="宋体" w:hAnsi="宋体" w:eastAsia="宋体" w:cs="宋体"/>
          <w:sz w:val="28"/>
          <w:szCs w:val="28"/>
          <w:lang w:val="en-US" w:eastAsia="zh-CN"/>
        </w:rPr>
        <w:t>交流</w:t>
      </w:r>
      <w:r>
        <w:rPr>
          <w:rFonts w:hint="eastAsia" w:ascii="宋体" w:hAnsi="宋体" w:eastAsia="宋体" w:cs="宋体"/>
          <w:sz w:val="28"/>
          <w:szCs w:val="28"/>
        </w:rPr>
        <w:t>，并对学生企业工作的情况和效果进行整理分析。</w:t>
      </w:r>
    </w:p>
    <w:p w14:paraId="2A2FA103">
      <w:pPr>
        <w:widowControl/>
        <w:spacing w:line="500" w:lineRule="exact"/>
        <w:ind w:firstLine="557" w:firstLineChars="199"/>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1312" behindDoc="0" locked="0" layoutInCell="1" allowOverlap="1">
            <wp:simplePos x="0" y="0"/>
            <wp:positionH relativeFrom="column">
              <wp:posOffset>3014980</wp:posOffset>
            </wp:positionH>
            <wp:positionV relativeFrom="paragraph">
              <wp:posOffset>74930</wp:posOffset>
            </wp:positionV>
            <wp:extent cx="2749550" cy="1779270"/>
            <wp:effectExtent l="0" t="0" r="6350" b="11430"/>
            <wp:wrapNone/>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13"/>
                    <a:stretch>
                      <a:fillRect/>
                    </a:stretch>
                  </pic:blipFill>
                  <pic:spPr>
                    <a:xfrm>
                      <a:off x="0" y="0"/>
                      <a:ext cx="2749550" cy="1779270"/>
                    </a:xfrm>
                    <a:prstGeom prst="rect">
                      <a:avLst/>
                    </a:prstGeom>
                    <a:noFill/>
                    <a:ln>
                      <a:noFill/>
                    </a:ln>
                  </pic:spPr>
                </pic:pic>
              </a:graphicData>
            </a:graphic>
          </wp:anchor>
        </w:drawing>
      </w:r>
      <w:r>
        <w:rPr>
          <w:rFonts w:hint="eastAsia" w:ascii="宋体" w:hAnsi="宋体" w:eastAsia="宋体" w:cs="宋体"/>
          <w:sz w:val="28"/>
          <w:szCs w:val="28"/>
        </w:rPr>
        <w:drawing>
          <wp:anchor distT="0" distB="0" distL="114300" distR="114300" simplePos="0" relativeHeight="251662336" behindDoc="0" locked="0" layoutInCell="1" allowOverlap="1">
            <wp:simplePos x="0" y="0"/>
            <wp:positionH relativeFrom="column">
              <wp:posOffset>252095</wp:posOffset>
            </wp:positionH>
            <wp:positionV relativeFrom="paragraph">
              <wp:posOffset>62230</wp:posOffset>
            </wp:positionV>
            <wp:extent cx="2654935" cy="1811020"/>
            <wp:effectExtent l="0" t="0" r="12065" b="508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2654935" cy="1811020"/>
                    </a:xfrm>
                    <a:prstGeom prst="rect">
                      <a:avLst/>
                    </a:prstGeom>
                    <a:noFill/>
                    <a:ln>
                      <a:noFill/>
                    </a:ln>
                  </pic:spPr>
                </pic:pic>
              </a:graphicData>
            </a:graphic>
          </wp:anchor>
        </w:drawing>
      </w:r>
    </w:p>
    <w:p w14:paraId="007012DD">
      <w:pPr>
        <w:widowControl/>
        <w:spacing w:line="500" w:lineRule="exact"/>
        <w:ind w:firstLine="557" w:firstLineChars="199"/>
        <w:rPr>
          <w:rFonts w:hint="eastAsia" w:ascii="宋体" w:hAnsi="宋体" w:eastAsia="宋体" w:cs="宋体"/>
          <w:sz w:val="28"/>
          <w:szCs w:val="28"/>
        </w:rPr>
      </w:pPr>
    </w:p>
    <w:p w14:paraId="4EFF5C98">
      <w:pPr>
        <w:widowControl/>
        <w:spacing w:line="500" w:lineRule="exact"/>
        <w:ind w:firstLine="557" w:firstLineChars="199"/>
        <w:rPr>
          <w:rFonts w:hint="eastAsia" w:ascii="宋体" w:hAnsi="宋体" w:eastAsia="宋体" w:cs="宋体"/>
          <w:sz w:val="28"/>
          <w:szCs w:val="28"/>
        </w:rPr>
      </w:pPr>
    </w:p>
    <w:p w14:paraId="115788CD">
      <w:pPr>
        <w:widowControl/>
        <w:spacing w:line="500" w:lineRule="exact"/>
        <w:ind w:firstLine="557" w:firstLineChars="199"/>
        <w:rPr>
          <w:rFonts w:hint="eastAsia" w:ascii="宋体" w:hAnsi="宋体" w:eastAsia="宋体" w:cs="宋体"/>
          <w:sz w:val="28"/>
          <w:szCs w:val="28"/>
        </w:rPr>
      </w:pPr>
    </w:p>
    <w:p w14:paraId="77677B99">
      <w:pPr>
        <w:widowControl/>
        <w:spacing w:line="500" w:lineRule="exact"/>
        <w:ind w:firstLine="557" w:firstLineChars="199"/>
        <w:rPr>
          <w:rFonts w:hint="eastAsia" w:ascii="宋体" w:hAnsi="宋体" w:eastAsia="宋体" w:cs="宋体"/>
          <w:sz w:val="28"/>
          <w:szCs w:val="28"/>
        </w:rPr>
      </w:pPr>
    </w:p>
    <w:p w14:paraId="66ED6C00">
      <w:pPr>
        <w:widowControl/>
        <w:spacing w:line="500" w:lineRule="exact"/>
        <w:ind w:firstLine="557" w:firstLineChars="199"/>
        <w:rPr>
          <w:rFonts w:hint="eastAsia" w:ascii="宋体" w:hAnsi="宋体" w:eastAsia="宋体" w:cs="宋体"/>
          <w:sz w:val="28"/>
          <w:szCs w:val="28"/>
        </w:rPr>
      </w:pPr>
    </w:p>
    <w:p w14:paraId="076E259E">
      <w:pPr>
        <w:widowControl/>
        <w:spacing w:line="500" w:lineRule="exact"/>
        <w:ind w:firstLine="557" w:firstLineChars="199"/>
        <w:jc w:val="center"/>
        <w:rPr>
          <w:rFonts w:hint="eastAsia" w:ascii="宋体" w:hAnsi="宋体" w:eastAsia="宋体" w:cs="宋体"/>
          <w:sz w:val="28"/>
          <w:szCs w:val="28"/>
          <w:shd w:val="clear" w:color="auto" w:fill="FFFFFF"/>
          <w:lang w:val="en-US"/>
        </w:rPr>
      </w:pPr>
      <w:r>
        <w:rPr>
          <w:rFonts w:hint="eastAsia" w:ascii="宋体" w:hAnsi="宋体" w:eastAsia="宋体" w:cs="宋体"/>
          <w:sz w:val="28"/>
          <w:szCs w:val="28"/>
          <w:lang w:val="en-US" w:eastAsia="zh-CN"/>
        </w:rPr>
        <w:t>图6：教师参与企业实践</w:t>
      </w:r>
    </w:p>
    <w:p w14:paraId="365E52D3">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CN"/>
        </w:rPr>
      </w:pPr>
      <w:bookmarkStart w:id="10" w:name="_Toc20399"/>
      <w:r>
        <w:rPr>
          <w:rFonts w:hint="eastAsia" w:ascii="黑体" w:hAnsi="黑体" w:eastAsia="黑体" w:cs="黑体"/>
          <w:b w:val="0"/>
          <w:bCs/>
          <w:sz w:val="28"/>
          <w:szCs w:val="28"/>
          <w:lang w:val="en-US" w:eastAsia="zh-CN"/>
        </w:rPr>
        <w:t>五、助推企业发展</w:t>
      </w:r>
      <w:bookmarkEnd w:id="10"/>
    </w:p>
    <w:p w14:paraId="1FE31C66">
      <w:pPr>
        <w:widowControl/>
        <w:numPr>
          <w:ilvl w:val="0"/>
          <w:numId w:val="0"/>
        </w:numPr>
        <w:spacing w:line="500" w:lineRule="exact"/>
        <w:ind w:firstLine="548" w:firstLineChars="196"/>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学院</w:t>
      </w:r>
      <w:r>
        <w:rPr>
          <w:rFonts w:hint="eastAsia" w:ascii="宋体" w:hAnsi="宋体" w:eastAsia="宋体" w:cs="宋体"/>
          <w:sz w:val="28"/>
          <w:szCs w:val="28"/>
        </w:rPr>
        <w:t>教师定期赴企业生产锻炼，教师能够了解</w:t>
      </w:r>
      <w:r>
        <w:rPr>
          <w:rFonts w:hint="eastAsia" w:ascii="宋体" w:hAnsi="宋体" w:eastAsia="宋体" w:cs="宋体"/>
          <w:sz w:val="28"/>
          <w:szCs w:val="28"/>
          <w:lang w:val="en-US" w:eastAsia="zh-CN"/>
        </w:rPr>
        <w:t>企业文化，熟悉数据采集与分析、网络管理、信息系统运行维护、数据标注与训练等新技术、新方法，收集教学案例，丰富教学内容；同时在借助企业的先进的设备，分析数据，为企业解决技术难题。</w:t>
      </w:r>
    </w:p>
    <w:p w14:paraId="02598BB1">
      <w:pPr>
        <w:widowControl/>
        <w:numPr>
          <w:ilvl w:val="0"/>
          <w:numId w:val="0"/>
        </w:numPr>
        <w:spacing w:line="500" w:lineRule="exact"/>
        <w:ind w:firstLine="548" w:firstLineChars="196"/>
        <w:rPr>
          <w:rFonts w:hint="eastAsia" w:ascii="宋体" w:hAnsi="宋体" w:eastAsia="宋体" w:cs="宋体"/>
          <w:color w:val="000000"/>
          <w:kern w:val="0"/>
          <w:sz w:val="28"/>
          <w:szCs w:val="28"/>
        </w:rPr>
      </w:pPr>
      <w:r>
        <w:rPr>
          <w:rFonts w:hint="eastAsia" w:ascii="宋体" w:hAnsi="宋体" w:eastAsia="宋体" w:cs="宋体"/>
          <w:sz w:val="28"/>
          <w:szCs w:val="28"/>
        </w:rPr>
        <w:t>为企业输送</w:t>
      </w:r>
      <w:r>
        <w:rPr>
          <w:rFonts w:hint="eastAsia" w:ascii="宋体" w:hAnsi="宋体" w:eastAsia="宋体" w:cs="宋体"/>
          <w:sz w:val="28"/>
          <w:szCs w:val="28"/>
          <w:lang w:val="en-US" w:eastAsia="zh-CN"/>
        </w:rPr>
        <w:t>岗位实习</w:t>
      </w:r>
      <w:r>
        <w:rPr>
          <w:rFonts w:hint="eastAsia" w:ascii="宋体" w:hAnsi="宋体" w:eastAsia="宋体" w:cs="宋体"/>
          <w:sz w:val="28"/>
          <w:szCs w:val="28"/>
        </w:rPr>
        <w:t>学生</w:t>
      </w:r>
      <w:r>
        <w:rPr>
          <w:rFonts w:hint="eastAsia" w:ascii="宋体" w:hAnsi="宋体" w:eastAsia="宋体" w:cs="宋体"/>
          <w:sz w:val="28"/>
          <w:szCs w:val="28"/>
          <w:lang w:eastAsia="zh-CN"/>
        </w:rPr>
        <w:t>，</w:t>
      </w:r>
      <w:r>
        <w:rPr>
          <w:rFonts w:hint="eastAsia" w:ascii="宋体" w:hAnsi="宋体" w:eastAsia="宋体" w:cs="宋体"/>
          <w:sz w:val="28"/>
          <w:szCs w:val="28"/>
        </w:rPr>
        <w:t>学生分时段在学校、企业和交叉进行理论和技能学习，完成学业的同时，最终通过企业实践考核，实战技术的学习。这种工学交替模式将理论与实践相结合，加深了学生对所学专业的认识，提高学生学习的主动性和积极性。在人工智能技术深度融入产业变革的当下，高质量数据标注是 AI 模型迭代的核心基石，专业人工智能训练师是打通技术与产业应用的关键桥梁。二者协同发力，正成为企业降本增效、突破创新瓶颈、构建核心竞争力的重要引擎。</w:t>
      </w:r>
    </w:p>
    <w:p w14:paraId="12CFE478">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CN"/>
        </w:rPr>
      </w:pPr>
      <w:bookmarkStart w:id="11" w:name="_Toc2635"/>
      <w:r>
        <w:rPr>
          <w:rFonts w:hint="eastAsia" w:ascii="黑体" w:hAnsi="黑体" w:eastAsia="黑体" w:cs="黑体"/>
          <w:b w:val="0"/>
          <w:bCs/>
          <w:sz w:val="28"/>
          <w:szCs w:val="28"/>
          <w:lang w:val="en-US" w:eastAsia="zh-CN"/>
        </w:rPr>
        <w:t>六</w:t>
      </w:r>
      <w:r>
        <w:rPr>
          <w:rFonts w:hint="eastAsia" w:ascii="黑体" w:hAnsi="黑体" w:eastAsia="黑体" w:cs="黑体"/>
          <w:b w:val="0"/>
          <w:bCs/>
          <w:sz w:val="28"/>
          <w:szCs w:val="28"/>
          <w:lang w:val="en-US" w:eastAsia="zh-Hans"/>
        </w:rPr>
        <w:t>、</w:t>
      </w:r>
      <w:r>
        <w:rPr>
          <w:rFonts w:hint="eastAsia" w:ascii="黑体" w:hAnsi="黑体" w:eastAsia="黑体" w:cs="黑体"/>
          <w:b w:val="0"/>
          <w:bCs/>
          <w:sz w:val="28"/>
          <w:szCs w:val="28"/>
          <w:lang w:val="en-US" w:eastAsia="zh-CN"/>
        </w:rPr>
        <w:t>保障体系</w:t>
      </w:r>
      <w:bookmarkEnd w:id="11"/>
    </w:p>
    <w:p w14:paraId="1358C59B">
      <w:pPr>
        <w:widowControl/>
        <w:numPr>
          <w:ilvl w:val="0"/>
          <w:numId w:val="0"/>
        </w:numPr>
        <w:spacing w:line="500" w:lineRule="exact"/>
        <w:ind w:firstLine="548" w:firstLineChars="196"/>
        <w:rPr>
          <w:rFonts w:hint="eastAsia" w:ascii="宋体" w:hAnsi="宋体" w:eastAsia="宋体" w:cs="宋体"/>
          <w:sz w:val="28"/>
          <w:szCs w:val="28"/>
          <w:lang w:val="en-US" w:eastAsia="zh-CN"/>
        </w:rPr>
      </w:pPr>
      <w:bookmarkStart w:id="12" w:name="_Toc1562"/>
      <w:r>
        <w:rPr>
          <w:rFonts w:hint="eastAsia" w:ascii="宋体" w:hAnsi="宋体" w:eastAsia="宋体" w:cs="宋体"/>
          <w:sz w:val="28"/>
          <w:szCs w:val="28"/>
        </w:rPr>
        <w:t>签订合作协议，强化</w:t>
      </w:r>
      <w:r>
        <w:rPr>
          <w:rFonts w:hint="eastAsia" w:ascii="宋体" w:hAnsi="宋体" w:eastAsia="宋体" w:cs="宋体"/>
          <w:sz w:val="28"/>
          <w:szCs w:val="28"/>
          <w:lang w:val="en-US" w:eastAsia="zh-CN"/>
        </w:rPr>
        <w:t>联合培养</w:t>
      </w:r>
      <w:r>
        <w:rPr>
          <w:rFonts w:hint="eastAsia" w:ascii="宋体" w:hAnsi="宋体" w:eastAsia="宋体" w:cs="宋体"/>
          <w:sz w:val="28"/>
          <w:szCs w:val="28"/>
        </w:rPr>
        <w:t>保障</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为深化校企协同育人，学校与澳鹏科技（无锡）有限公司本着友好协商、互利共赢的原则，签订校企合作联合培养协议，聚焦工学交替培养模式开展深度合作。双方明确核心责任分工：学校需认可企业告知的培养目标、学习生活环境等相关事宜，严格选拔推荐年满18周岁的合格学生并对信息真实性负责；定期跟踪学生思想动态与实习表现，做好思想引导及家校沟通工作；成立专项管理工作小组配合企业开展日常管理，并落实学生校内相关课程的教学与考核管理。企业需为学生提供系统的岗前岗位操作规程培训，配备安全的工作环境并购买商业保险，承担培养期间学生安全管理责任；对表现符合岗位能力标准的学生，优先提供岗位实习及录用机会。针对参与培养的学生，明确要求其严格遵守学校与企业双方规章制度，服从工作安排，严守企业商业秘密，爱护公私设施并承担人为损坏赔偿责任；同时需按要求完成校企双方规定的学习及实践任务，按时参加各项考核，未达标者将被取消培养资格或按学校学籍管理办法处理。</w:t>
      </w:r>
    </w:p>
    <w:p w14:paraId="2E5ECFA4">
      <w:pPr>
        <w:pStyle w:val="2"/>
        <w:keepNext/>
        <w:keepLines/>
        <w:pageBreakBefore w:val="0"/>
        <w:widowControl w:val="0"/>
        <w:kinsoku/>
        <w:wordWrap/>
        <w:overflowPunct/>
        <w:topLinePunct w:val="0"/>
        <w:autoSpaceDE/>
        <w:autoSpaceDN/>
        <w:bidi w:val="0"/>
        <w:adjustRightInd/>
        <w:snapToGrid/>
        <w:spacing w:before="0" w:after="0" w:line="360" w:lineRule="auto"/>
        <w:ind w:firstLine="560" w:firstLineChars="200"/>
        <w:textAlignment w:val="auto"/>
        <w:rPr>
          <w:rFonts w:hint="eastAsia" w:ascii="黑体" w:hAnsi="黑体" w:eastAsia="黑体" w:cs="黑体"/>
          <w:b w:val="0"/>
          <w:bCs/>
          <w:sz w:val="28"/>
          <w:szCs w:val="28"/>
          <w:lang w:val="en-US" w:eastAsia="zh-Hans"/>
        </w:rPr>
      </w:pPr>
      <w:r>
        <w:rPr>
          <w:rFonts w:hint="eastAsia" w:ascii="黑体" w:hAnsi="黑体" w:eastAsia="黑体" w:cs="黑体"/>
          <w:b w:val="0"/>
          <w:bCs/>
          <w:sz w:val="28"/>
          <w:szCs w:val="28"/>
          <w:lang w:val="en-US" w:eastAsia="zh-CN"/>
        </w:rPr>
        <w:t>七</w:t>
      </w:r>
      <w:r>
        <w:rPr>
          <w:rFonts w:hint="eastAsia" w:ascii="黑体" w:hAnsi="黑体" w:eastAsia="黑体" w:cs="黑体"/>
          <w:b w:val="0"/>
          <w:bCs/>
          <w:sz w:val="28"/>
          <w:szCs w:val="28"/>
          <w:lang w:val="en-US" w:eastAsia="zh-Hans"/>
        </w:rPr>
        <w:t>、</w:t>
      </w:r>
      <w:r>
        <w:rPr>
          <w:rFonts w:hint="eastAsia" w:ascii="黑体" w:hAnsi="黑体" w:eastAsia="黑体" w:cs="黑体"/>
          <w:b w:val="0"/>
          <w:bCs/>
          <w:sz w:val="28"/>
          <w:szCs w:val="28"/>
          <w:lang w:val="en-US" w:eastAsia="zh-CN"/>
        </w:rPr>
        <w:t>总结与展望</w:t>
      </w:r>
      <w:bookmarkEnd w:id="12"/>
    </w:p>
    <w:p w14:paraId="5357CF7C">
      <w:pPr>
        <w:spacing w:line="500" w:lineRule="exact"/>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2024年度，澳鹏科技（无锡）有限公司与</w:t>
      </w:r>
      <w:r>
        <w:rPr>
          <w:rFonts w:hint="eastAsia" w:ascii="宋体" w:hAnsi="宋体" w:cs="宋体"/>
          <w:sz w:val="28"/>
          <w:szCs w:val="28"/>
          <w:lang w:val="en-US" w:eastAsia="zh-CN"/>
        </w:rPr>
        <w:t>学校</w:t>
      </w:r>
      <w:r>
        <w:rPr>
          <w:rFonts w:hint="eastAsia" w:ascii="宋体" w:hAnsi="宋体" w:eastAsia="宋体" w:cs="宋体"/>
          <w:sz w:val="28"/>
          <w:szCs w:val="28"/>
          <w:lang w:val="en-US" w:eastAsia="zh-CN"/>
        </w:rPr>
        <w:t>在校企合作方面取得了显著成效，初步构建起“资源共享、人才共育、过程共管、成果共享”的协同育人机制。</w:t>
      </w:r>
    </w:p>
    <w:p w14:paraId="4183979B">
      <w:pPr>
        <w:spacing w:line="500" w:lineRule="exact"/>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年度合作以“服务产业需求、提升育人质量”为核心目标，围绕人才培养方案制定、实习实训组织、师资队伍建设、教学资源开发等多个维度展开深度协作。企业充分发挥产业优势，将先进技术、真实项目和岗位标准引入教学过程；学校则依托教育教学资源，为企业输送适配人才并提供技术支持，实现了教育链、人才链与产业链的有机衔接。</w:t>
      </w:r>
    </w:p>
    <w:p w14:paraId="78810BC7">
      <w:pPr>
        <w:spacing w:line="500" w:lineRule="exact"/>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sz w:val="28"/>
          <w:szCs w:val="28"/>
        </w:rPr>
        <w:t xml:space="preserve">.培养学生精益求精的“工匠精神” </w:t>
      </w:r>
    </w:p>
    <w:p w14:paraId="51E1FBCA">
      <w:pPr>
        <w:spacing w:line="50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针对学生实习实践中的心态变化、可能出现的情绪问题，通过</w:t>
      </w:r>
      <w:r>
        <w:rPr>
          <w:rFonts w:hint="eastAsia" w:ascii="宋体" w:hAnsi="宋体" w:eastAsia="宋体" w:cs="宋体"/>
          <w:sz w:val="28"/>
          <w:szCs w:val="28"/>
          <w:lang w:val="en-US" w:eastAsia="zh-CN"/>
        </w:rPr>
        <w:t>企业</w:t>
      </w:r>
      <w:r>
        <w:rPr>
          <w:rFonts w:hint="eastAsia" w:ascii="宋体" w:hAnsi="宋体" w:eastAsia="宋体" w:cs="宋体"/>
          <w:sz w:val="28"/>
          <w:szCs w:val="28"/>
        </w:rPr>
        <w:t>高标准的实战项目积累，切实培养学生的劳动和工作态度，磨炼意志，树立职业理念，培养“工匠精神”。学生在</w:t>
      </w:r>
      <w:r>
        <w:rPr>
          <w:rFonts w:hint="eastAsia" w:ascii="宋体" w:hAnsi="宋体" w:eastAsia="宋体" w:cs="宋体"/>
          <w:sz w:val="28"/>
          <w:szCs w:val="28"/>
          <w:lang w:val="en-US" w:eastAsia="zh-CN"/>
        </w:rPr>
        <w:t>实习</w:t>
      </w:r>
      <w:r>
        <w:rPr>
          <w:rFonts w:hint="eastAsia" w:ascii="宋体" w:hAnsi="宋体" w:eastAsia="宋体" w:cs="宋体"/>
          <w:sz w:val="28"/>
          <w:szCs w:val="28"/>
        </w:rPr>
        <w:t>实训过程中，通过“老带新”、团队协作等模式，树立起对职业的敬畏、对工作的热情以及对</w:t>
      </w:r>
      <w:r>
        <w:rPr>
          <w:rFonts w:hint="eastAsia" w:ascii="宋体" w:hAnsi="宋体" w:eastAsia="宋体" w:cs="宋体"/>
          <w:sz w:val="28"/>
          <w:szCs w:val="28"/>
          <w:lang w:val="en-US" w:eastAsia="zh-CN"/>
        </w:rPr>
        <w:t>项目</w:t>
      </w:r>
      <w:r>
        <w:rPr>
          <w:rFonts w:hint="eastAsia" w:ascii="宋体" w:hAnsi="宋体" w:eastAsia="宋体" w:cs="宋体"/>
          <w:sz w:val="28"/>
          <w:szCs w:val="28"/>
        </w:rPr>
        <w:t>追求完美的价值取向。</w:t>
      </w:r>
    </w:p>
    <w:p w14:paraId="5160419D">
      <w:pPr>
        <w:numPr>
          <w:ilvl w:val="0"/>
          <w:numId w:val="0"/>
        </w:numPr>
        <w:spacing w:line="500" w:lineRule="exact"/>
        <w:ind w:firstLine="560" w:firstLineChars="200"/>
        <w:rPr>
          <w:rFonts w:hint="eastAsia" w:ascii="宋体" w:hAnsi="宋体" w:eastAsia="宋体" w:cs="宋体"/>
          <w:sz w:val="28"/>
          <w:szCs w:val="28"/>
        </w:rPr>
      </w:pPr>
      <w:r>
        <w:rPr>
          <w:rFonts w:hint="eastAsia" w:ascii="宋体" w:hAnsi="宋体" w:eastAsia="宋体" w:cs="宋体"/>
          <w:kern w:val="2"/>
          <w:sz w:val="28"/>
          <w:szCs w:val="28"/>
          <w:lang w:val="en-US" w:eastAsia="zh-CN" w:bidi="ar-SA"/>
        </w:rPr>
        <w:t>2.</w:t>
      </w:r>
      <w:r>
        <w:rPr>
          <w:rFonts w:hint="eastAsia" w:ascii="宋体" w:hAnsi="宋体" w:eastAsia="宋体" w:cs="宋体"/>
          <w:sz w:val="28"/>
          <w:szCs w:val="28"/>
        </w:rPr>
        <w:t xml:space="preserve">制定特色的专业课程体系 </w:t>
      </w:r>
    </w:p>
    <w:p w14:paraId="61AC8421">
      <w:pPr>
        <w:numPr>
          <w:ilvl w:val="0"/>
          <w:numId w:val="0"/>
        </w:numPr>
        <w:spacing w:line="50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校企将以</w:t>
      </w:r>
      <w:r>
        <w:rPr>
          <w:rFonts w:hint="eastAsia" w:ascii="宋体" w:hAnsi="宋体" w:eastAsia="宋体" w:cs="宋体"/>
          <w:sz w:val="28"/>
          <w:szCs w:val="28"/>
          <w:lang w:val="en-US" w:eastAsia="zh-CN"/>
        </w:rPr>
        <w:t>人工智能行业发展</w:t>
      </w:r>
      <w:r>
        <w:rPr>
          <w:rFonts w:hint="eastAsia" w:ascii="宋体" w:hAnsi="宋体" w:eastAsia="宋体" w:cs="宋体"/>
          <w:sz w:val="28"/>
          <w:szCs w:val="28"/>
        </w:rPr>
        <w:t>为出发点，坚持以学生为中心，以提供优质教育为落脚点。共同研制开发课程内容与教材，提升信息化教学能力水平，助力课程教学改革。在课程教学中，将企业项目实施内容融入教学，开发新形态教学模式，实施混合式课堂教学，拓展多样化教法改革，整合优质教学资源，实施推动“课堂革命”。</w:t>
      </w:r>
    </w:p>
    <w:p w14:paraId="2CDFAC69">
      <w:pPr>
        <w:numPr>
          <w:ilvl w:val="0"/>
          <w:numId w:val="0"/>
        </w:numPr>
        <w:spacing w:line="500" w:lineRule="exact"/>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数据标注与人工智能训练师已成为国家认可的新兴职业，也是职业教育领域的重点培养方向。针对计算机、物联网、电子技术等专业，职业院校可围绕企业实际需求，构建“理论教学+实训实操+企业顶岗”的培养模式：</w:t>
      </w:r>
      <w:r>
        <w:rPr>
          <w:rFonts w:hint="eastAsia" w:ascii="宋体" w:hAnsi="宋体" w:eastAsia="宋体" w:cs="宋体"/>
          <w:sz w:val="28"/>
          <w:szCs w:val="28"/>
        </w:rPr>
        <w:t>开设数据标注技术、机器学习基础、人机交互设计等核心课程；引入企业真实的标注项目与AI训练任务，建设校企合作实训基地；培养兼具技术能力与产业思维的复合型人才，既满足企业对专业人才的需求，又助力学生实现高质量就业。</w:t>
      </w:r>
    </w:p>
    <w:p w14:paraId="4F2ED208">
      <w:pPr>
        <w:numPr>
          <w:ilvl w:val="0"/>
          <w:numId w:val="0"/>
        </w:numPr>
        <w:spacing w:line="50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进一步推进校企合作，找准企业与学校的利益共同点，形成长效利益的共同体。注重探索合作的持续发 展机制，稳定的组织联系制度，克服短期行为，实现互惠互利、合作共赢。</w:t>
      </w: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TT4AC8C67DtCID-WinCharSetFFFF-H">
    <w:altName w:val="宋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AA3A3">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2840"/>
      <w:docPartObj>
        <w:docPartGallery w:val="autotext"/>
      </w:docPartObj>
    </w:sdtPr>
    <w:sdtContent>
      <w:p w14:paraId="5BA12891">
        <w:pPr>
          <w:pStyle w:val="5"/>
          <w:jc w:val="center"/>
        </w:pPr>
        <w:r>
          <w:fldChar w:fldCharType="begin"/>
        </w:r>
        <w:r>
          <w:instrText xml:space="preserve">PAGE   \* MERGEFORMAT</w:instrText>
        </w:r>
        <w:r>
          <w:fldChar w:fldCharType="separate"/>
        </w:r>
        <w:r>
          <w:rPr>
            <w:lang w:val="zh-CN"/>
          </w:rPr>
          <w:t>6</w:t>
        </w:r>
        <w:r>
          <w:fldChar w:fldCharType="end"/>
        </w:r>
      </w:p>
    </w:sdtContent>
  </w:sdt>
  <w:p w14:paraId="4750F700">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g0NTFmZDU4M2ZjM2U4ODQ3ZmUzYThkMDVlMDdhYjkifQ=="/>
  </w:docVars>
  <w:rsids>
    <w:rsidRoot w:val="003A6295"/>
    <w:rsid w:val="000129F4"/>
    <w:rsid w:val="00015FA8"/>
    <w:rsid w:val="00031C77"/>
    <w:rsid w:val="00041B0F"/>
    <w:rsid w:val="00052738"/>
    <w:rsid w:val="00052C00"/>
    <w:rsid w:val="000568AE"/>
    <w:rsid w:val="00065AC1"/>
    <w:rsid w:val="00077CE5"/>
    <w:rsid w:val="000A1B0A"/>
    <w:rsid w:val="000A340C"/>
    <w:rsid w:val="000F2AD5"/>
    <w:rsid w:val="001432FC"/>
    <w:rsid w:val="001521B5"/>
    <w:rsid w:val="00153C46"/>
    <w:rsid w:val="00162A17"/>
    <w:rsid w:val="00171310"/>
    <w:rsid w:val="001E188A"/>
    <w:rsid w:val="00204EE7"/>
    <w:rsid w:val="00253EE4"/>
    <w:rsid w:val="00254AAD"/>
    <w:rsid w:val="0025672F"/>
    <w:rsid w:val="00256D96"/>
    <w:rsid w:val="00271EAD"/>
    <w:rsid w:val="002766DB"/>
    <w:rsid w:val="002B3A7F"/>
    <w:rsid w:val="002C0558"/>
    <w:rsid w:val="002D16C2"/>
    <w:rsid w:val="002D1CAC"/>
    <w:rsid w:val="002D3DD7"/>
    <w:rsid w:val="0030178B"/>
    <w:rsid w:val="00313434"/>
    <w:rsid w:val="00333881"/>
    <w:rsid w:val="003408E6"/>
    <w:rsid w:val="00361E82"/>
    <w:rsid w:val="00381162"/>
    <w:rsid w:val="003A6295"/>
    <w:rsid w:val="003C2930"/>
    <w:rsid w:val="003D008D"/>
    <w:rsid w:val="003D5891"/>
    <w:rsid w:val="0043612B"/>
    <w:rsid w:val="004871CF"/>
    <w:rsid w:val="0049219A"/>
    <w:rsid w:val="00495C41"/>
    <w:rsid w:val="004A2E65"/>
    <w:rsid w:val="004A5544"/>
    <w:rsid w:val="004B558C"/>
    <w:rsid w:val="004C7762"/>
    <w:rsid w:val="004D1D10"/>
    <w:rsid w:val="004D3ACB"/>
    <w:rsid w:val="004F1A58"/>
    <w:rsid w:val="00502A4B"/>
    <w:rsid w:val="00506215"/>
    <w:rsid w:val="00506A1F"/>
    <w:rsid w:val="0051234F"/>
    <w:rsid w:val="00515D7F"/>
    <w:rsid w:val="00530533"/>
    <w:rsid w:val="0056225B"/>
    <w:rsid w:val="00566C83"/>
    <w:rsid w:val="0059747C"/>
    <w:rsid w:val="005A5AC9"/>
    <w:rsid w:val="005C6FCA"/>
    <w:rsid w:val="005E0FCA"/>
    <w:rsid w:val="005F02F5"/>
    <w:rsid w:val="005F255B"/>
    <w:rsid w:val="00606836"/>
    <w:rsid w:val="00612C75"/>
    <w:rsid w:val="00630613"/>
    <w:rsid w:val="00630619"/>
    <w:rsid w:val="006421B5"/>
    <w:rsid w:val="00642E10"/>
    <w:rsid w:val="00651355"/>
    <w:rsid w:val="00663DCC"/>
    <w:rsid w:val="00670EE2"/>
    <w:rsid w:val="00691DD8"/>
    <w:rsid w:val="006D1600"/>
    <w:rsid w:val="00706360"/>
    <w:rsid w:val="00725807"/>
    <w:rsid w:val="00727417"/>
    <w:rsid w:val="00751B87"/>
    <w:rsid w:val="0075277E"/>
    <w:rsid w:val="007544AC"/>
    <w:rsid w:val="00793DE8"/>
    <w:rsid w:val="00797AA4"/>
    <w:rsid w:val="007B0F6C"/>
    <w:rsid w:val="007B30E1"/>
    <w:rsid w:val="007C5573"/>
    <w:rsid w:val="007E0065"/>
    <w:rsid w:val="007E6FE3"/>
    <w:rsid w:val="007F2C47"/>
    <w:rsid w:val="0080456D"/>
    <w:rsid w:val="008213FB"/>
    <w:rsid w:val="00853239"/>
    <w:rsid w:val="008C38AF"/>
    <w:rsid w:val="008C67D8"/>
    <w:rsid w:val="008F0D16"/>
    <w:rsid w:val="008F3D41"/>
    <w:rsid w:val="009115D8"/>
    <w:rsid w:val="00936FEE"/>
    <w:rsid w:val="009434F0"/>
    <w:rsid w:val="00951A39"/>
    <w:rsid w:val="00955D97"/>
    <w:rsid w:val="00957021"/>
    <w:rsid w:val="00976F2D"/>
    <w:rsid w:val="00994011"/>
    <w:rsid w:val="009A5F48"/>
    <w:rsid w:val="009C3A91"/>
    <w:rsid w:val="009C76E6"/>
    <w:rsid w:val="009D1146"/>
    <w:rsid w:val="009E1909"/>
    <w:rsid w:val="009E6E48"/>
    <w:rsid w:val="009F5960"/>
    <w:rsid w:val="009F7B71"/>
    <w:rsid w:val="00A077E9"/>
    <w:rsid w:val="00A179E4"/>
    <w:rsid w:val="00A26060"/>
    <w:rsid w:val="00A27CD1"/>
    <w:rsid w:val="00A3765E"/>
    <w:rsid w:val="00AA71CB"/>
    <w:rsid w:val="00AD1D7A"/>
    <w:rsid w:val="00B01FEF"/>
    <w:rsid w:val="00B15E31"/>
    <w:rsid w:val="00B20D7A"/>
    <w:rsid w:val="00B327F2"/>
    <w:rsid w:val="00B36F1E"/>
    <w:rsid w:val="00B44C74"/>
    <w:rsid w:val="00B521CB"/>
    <w:rsid w:val="00B53D87"/>
    <w:rsid w:val="00B629DB"/>
    <w:rsid w:val="00B9011F"/>
    <w:rsid w:val="00BA5C38"/>
    <w:rsid w:val="00BA5D7D"/>
    <w:rsid w:val="00BB4DF5"/>
    <w:rsid w:val="00BC6D5C"/>
    <w:rsid w:val="00BE0B4C"/>
    <w:rsid w:val="00C012E1"/>
    <w:rsid w:val="00C02A5F"/>
    <w:rsid w:val="00C20B83"/>
    <w:rsid w:val="00C21E3C"/>
    <w:rsid w:val="00C310D6"/>
    <w:rsid w:val="00C448BE"/>
    <w:rsid w:val="00C7294B"/>
    <w:rsid w:val="00C729BE"/>
    <w:rsid w:val="00C74ECF"/>
    <w:rsid w:val="00C808DF"/>
    <w:rsid w:val="00C83B8B"/>
    <w:rsid w:val="00CB04E2"/>
    <w:rsid w:val="00CB0537"/>
    <w:rsid w:val="00CE2892"/>
    <w:rsid w:val="00D06BCD"/>
    <w:rsid w:val="00D127E3"/>
    <w:rsid w:val="00D1647B"/>
    <w:rsid w:val="00D21BCB"/>
    <w:rsid w:val="00D2745E"/>
    <w:rsid w:val="00D425A4"/>
    <w:rsid w:val="00D44C33"/>
    <w:rsid w:val="00D576D3"/>
    <w:rsid w:val="00D65E78"/>
    <w:rsid w:val="00D8056B"/>
    <w:rsid w:val="00D92F47"/>
    <w:rsid w:val="00D94B5F"/>
    <w:rsid w:val="00DB7DAB"/>
    <w:rsid w:val="00DE0A34"/>
    <w:rsid w:val="00DF5428"/>
    <w:rsid w:val="00E058EA"/>
    <w:rsid w:val="00E210E4"/>
    <w:rsid w:val="00E30A01"/>
    <w:rsid w:val="00E35407"/>
    <w:rsid w:val="00E804E3"/>
    <w:rsid w:val="00ED647C"/>
    <w:rsid w:val="00EE1605"/>
    <w:rsid w:val="00F06AD9"/>
    <w:rsid w:val="00F22BA6"/>
    <w:rsid w:val="00F37D50"/>
    <w:rsid w:val="00F54E3A"/>
    <w:rsid w:val="00F5619D"/>
    <w:rsid w:val="00F76A31"/>
    <w:rsid w:val="00F85E21"/>
    <w:rsid w:val="00FA0CB7"/>
    <w:rsid w:val="00FB2258"/>
    <w:rsid w:val="00FC4CD9"/>
    <w:rsid w:val="00FD2185"/>
    <w:rsid w:val="00FE7826"/>
    <w:rsid w:val="00FE7E22"/>
    <w:rsid w:val="04333A46"/>
    <w:rsid w:val="07D023DC"/>
    <w:rsid w:val="095F3199"/>
    <w:rsid w:val="0F433AFA"/>
    <w:rsid w:val="107B002E"/>
    <w:rsid w:val="1A125E58"/>
    <w:rsid w:val="1C2C6282"/>
    <w:rsid w:val="20AA17CF"/>
    <w:rsid w:val="262E5F76"/>
    <w:rsid w:val="29C50BF0"/>
    <w:rsid w:val="3625107B"/>
    <w:rsid w:val="3B9245A8"/>
    <w:rsid w:val="3BA05DDE"/>
    <w:rsid w:val="3FC92B3F"/>
    <w:rsid w:val="3FCF518F"/>
    <w:rsid w:val="42213239"/>
    <w:rsid w:val="46DA1A04"/>
    <w:rsid w:val="48F53AA9"/>
    <w:rsid w:val="4C95392C"/>
    <w:rsid w:val="5064778E"/>
    <w:rsid w:val="52605235"/>
    <w:rsid w:val="5587107B"/>
    <w:rsid w:val="59426307"/>
    <w:rsid w:val="5A56101C"/>
    <w:rsid w:val="5B700174"/>
    <w:rsid w:val="5CA26BB2"/>
    <w:rsid w:val="61D54F1C"/>
    <w:rsid w:val="64654C7D"/>
    <w:rsid w:val="690A229F"/>
    <w:rsid w:val="6B5D5AD5"/>
    <w:rsid w:val="704A532F"/>
    <w:rsid w:val="71E43175"/>
    <w:rsid w:val="74C35F1C"/>
    <w:rsid w:val="74D925D0"/>
    <w:rsid w:val="7B036C80"/>
    <w:rsid w:val="7ED20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10">
    <w:name w:val="Default Paragraph Font"/>
    <w:autoRedefine/>
    <w:semiHidden/>
    <w:unhideWhenUsed/>
    <w:qFormat/>
    <w:uiPriority w:val="1"/>
  </w:style>
  <w:style w:type="table" w:default="1" w:styleId="9">
    <w:name w:val="Normal Table"/>
    <w:autoRedefine/>
    <w:semiHidden/>
    <w:unhideWhenUsed/>
    <w:qFormat/>
    <w:uiPriority w:val="99"/>
    <w:tblPr>
      <w:tblCellMar>
        <w:top w:w="0" w:type="dxa"/>
        <w:left w:w="108" w:type="dxa"/>
        <w:bottom w:w="0" w:type="dxa"/>
        <w:right w:w="108" w:type="dxa"/>
      </w:tblCellMar>
    </w:tblPr>
  </w:style>
  <w:style w:type="paragraph" w:styleId="3">
    <w:name w:val="Body Text Indent"/>
    <w:basedOn w:val="1"/>
    <w:autoRedefine/>
    <w:qFormat/>
    <w:uiPriority w:val="0"/>
    <w:pPr>
      <w:spacing w:after="120"/>
      <w:ind w:left="420" w:leftChars="200"/>
    </w:pPr>
  </w:style>
  <w:style w:type="paragraph" w:styleId="4">
    <w:name w:val="Balloon Text"/>
    <w:basedOn w:val="1"/>
    <w:link w:val="20"/>
    <w:autoRedefine/>
    <w:semiHidden/>
    <w:unhideWhenUsed/>
    <w:qFormat/>
    <w:uiPriority w:val="99"/>
    <w:rPr>
      <w:sz w:val="18"/>
      <w:szCs w:val="18"/>
    </w:rPr>
  </w:style>
  <w:style w:type="paragraph" w:styleId="5">
    <w:name w:val="footer"/>
    <w:basedOn w:val="1"/>
    <w:link w:val="14"/>
    <w:autoRedefine/>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6">
    <w:name w:val="header"/>
    <w:basedOn w:val="1"/>
    <w:link w:val="13"/>
    <w:autoRedefine/>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7">
    <w:name w:val="toc 1"/>
    <w:basedOn w:val="1"/>
    <w:next w:val="1"/>
    <w:autoRedefine/>
    <w:semiHidden/>
    <w:unhideWhenUsed/>
    <w:qFormat/>
    <w:uiPriority w:val="39"/>
  </w:style>
  <w:style w:type="paragraph" w:styleId="8">
    <w:name w:val="Normal (Web)"/>
    <w:basedOn w:val="1"/>
    <w:autoRedefine/>
    <w:unhideWhenUsed/>
    <w:qFormat/>
    <w:uiPriority w:val="0"/>
    <w:pPr>
      <w:widowControl/>
      <w:spacing w:before="100" w:beforeAutospacing="1" w:after="100" w:afterAutospacing="1"/>
      <w:ind w:left="0" w:leftChars="0"/>
      <w:jc w:val="left"/>
    </w:pPr>
    <w:rPr>
      <w:rFonts w:ascii="宋体" w:hAnsi="宋体" w:eastAsia="宋体" w:cs="宋体"/>
      <w:kern w:val="0"/>
      <w:sz w:val="24"/>
      <w:szCs w:val="24"/>
    </w:rPr>
  </w:style>
  <w:style w:type="character" w:styleId="11">
    <w:name w:val="Strong"/>
    <w:basedOn w:val="10"/>
    <w:autoRedefine/>
    <w:qFormat/>
    <w:uiPriority w:val="22"/>
    <w:rPr>
      <w:b/>
    </w:rPr>
  </w:style>
  <w:style w:type="character" w:styleId="12">
    <w:name w:val="Hyperlink"/>
    <w:basedOn w:val="10"/>
    <w:autoRedefine/>
    <w:semiHidden/>
    <w:unhideWhenUsed/>
    <w:qFormat/>
    <w:uiPriority w:val="99"/>
    <w:rPr>
      <w:color w:val="0000FF"/>
      <w:u w:val="single"/>
    </w:rPr>
  </w:style>
  <w:style w:type="character" w:customStyle="1" w:styleId="13">
    <w:name w:val="页眉 Char"/>
    <w:basedOn w:val="10"/>
    <w:link w:val="6"/>
    <w:autoRedefine/>
    <w:qFormat/>
    <w:uiPriority w:val="99"/>
    <w:rPr>
      <w:sz w:val="18"/>
      <w:szCs w:val="18"/>
    </w:rPr>
  </w:style>
  <w:style w:type="character" w:customStyle="1" w:styleId="14">
    <w:name w:val="页脚 Char"/>
    <w:basedOn w:val="10"/>
    <w:link w:val="5"/>
    <w:autoRedefine/>
    <w:qFormat/>
    <w:uiPriority w:val="99"/>
    <w:rPr>
      <w:sz w:val="18"/>
      <w:szCs w:val="18"/>
    </w:rPr>
  </w:style>
  <w:style w:type="paragraph" w:styleId="15">
    <w:name w:val="List Paragraph"/>
    <w:basedOn w:val="1"/>
    <w:autoRedefine/>
    <w:qFormat/>
    <w:uiPriority w:val="34"/>
    <w:pPr>
      <w:ind w:firstLine="420" w:firstLineChars="200"/>
    </w:pPr>
    <w:rPr>
      <w:rFonts w:asciiTheme="minorHAnsi" w:hAnsiTheme="minorHAnsi" w:eastAsiaTheme="minorEastAsia" w:cstheme="minorBidi"/>
      <w:szCs w:val="22"/>
    </w:rPr>
  </w:style>
  <w:style w:type="paragraph" w:customStyle="1" w:styleId="16">
    <w:name w:val="p0"/>
    <w:basedOn w:val="1"/>
    <w:autoRedefine/>
    <w:qFormat/>
    <w:uiPriority w:val="0"/>
    <w:pPr>
      <w:widowControl/>
    </w:pPr>
    <w:rPr>
      <w:kern w:val="0"/>
      <w:szCs w:val="21"/>
    </w:rPr>
  </w:style>
  <w:style w:type="character" w:customStyle="1" w:styleId="17">
    <w:name w:val="text_argyk"/>
    <w:basedOn w:val="10"/>
    <w:autoRedefine/>
    <w:qFormat/>
    <w:uiPriority w:val="0"/>
  </w:style>
  <w:style w:type="character" w:customStyle="1" w:styleId="18">
    <w:name w:val="supwrap_iqjmb"/>
    <w:basedOn w:val="10"/>
    <w:autoRedefine/>
    <w:qFormat/>
    <w:uiPriority w:val="0"/>
  </w:style>
  <w:style w:type="character" w:customStyle="1" w:styleId="19">
    <w:name w:val="apple-converted-space"/>
    <w:basedOn w:val="10"/>
    <w:autoRedefine/>
    <w:qFormat/>
    <w:uiPriority w:val="0"/>
  </w:style>
  <w:style w:type="character" w:customStyle="1" w:styleId="20">
    <w:name w:val="批注框文本 Char"/>
    <w:basedOn w:val="10"/>
    <w:link w:val="4"/>
    <w:autoRedefine/>
    <w:semiHidden/>
    <w:qFormat/>
    <w:uiPriority w:val="99"/>
    <w:rPr>
      <w:rFonts w:ascii="Times New Roman" w:hAnsi="Times New Roman"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10</Pages>
  <Words>3753</Words>
  <Characters>3810</Characters>
  <Lines>23</Lines>
  <Paragraphs>6</Paragraphs>
  <TotalTime>0</TotalTime>
  <ScaleCrop>false</ScaleCrop>
  <LinksUpToDate>false</LinksUpToDate>
  <CharactersWithSpaces>3857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2019-12-13T00:55:00Z</dcterms:created>
  <dc:creator>zhang cheng</dc:creator>
  <cp:lastModifiedBy>WPS_415904261</cp:lastModifiedBy>
  <dcterms:modified xsi:type="dcterms:W3CDTF">2025-12-23T03:38:54Z</dcterms:modified>
  <cp:revision>184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76F0CFF61E0D40AEB18498916121719C_13</vt:lpwstr>
  </property>
  <property fmtid="{D5CDD505-2E9C-101B-9397-08002B2CF9AE}" pid="4" name="KSOTemplateDocerSaveRecord">
    <vt:lpwstr>eyJoZGlkIjoiOGQwNzI5OWQyOWQ2M2FjNDAzY2ZlZmM4ODQzYWE0MmUiLCJ1c2VySWQiOiI0MTU5MDQyNjEifQ==</vt:lpwstr>
  </property>
</Properties>
</file>